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580" w:lineRule="exact"/>
        <w:outlineLvl w:val="1"/>
        <w:rPr>
          <w:rFonts w:ascii="Times New Roman" w:hAnsi="Times New Roman" w:eastAsia="黑体" w:cs="Times New Roman"/>
          <w:kern w:val="0"/>
          <w:sz w:val="32"/>
          <w:szCs w:val="32"/>
        </w:rPr>
      </w:pPr>
    </w:p>
    <w:p>
      <w:pPr>
        <w:spacing w:before="100" w:beforeAutospacing="1" w:after="100" w:afterAutospacing="1" w:line="580" w:lineRule="exact"/>
        <w:outlineLvl w:val="1"/>
        <w:rPr>
          <w:rFonts w:ascii="Times New Roman" w:hAnsi="Times New Roman" w:eastAsia="黑体" w:cs="Times New Roman"/>
          <w:kern w:val="0"/>
          <w:sz w:val="32"/>
          <w:szCs w:val="32"/>
        </w:rPr>
      </w:pPr>
    </w:p>
    <w:p>
      <w:pPr>
        <w:spacing w:before="100" w:beforeAutospacing="1" w:after="100" w:afterAutospacing="1" w:line="580" w:lineRule="exact"/>
        <w:outlineLvl w:val="1"/>
        <w:rPr>
          <w:rFonts w:ascii="Times New Roman" w:hAnsi="Times New Roman" w:eastAsia="黑体" w:cs="Times New Roman"/>
          <w:kern w:val="0"/>
          <w:sz w:val="32"/>
          <w:szCs w:val="32"/>
        </w:rPr>
      </w:pPr>
    </w:p>
    <w:p>
      <w:pPr>
        <w:spacing w:before="100" w:beforeAutospacing="1" w:after="100" w:afterAutospacing="1" w:line="580" w:lineRule="exact"/>
        <w:outlineLvl w:val="1"/>
        <w:rPr>
          <w:rFonts w:ascii="Times New Roman" w:hAnsi="Times New Roman" w:eastAsia="黑体" w:cs="Times New Roman"/>
          <w:kern w:val="0"/>
          <w:sz w:val="32"/>
          <w:szCs w:val="32"/>
        </w:rPr>
      </w:pPr>
    </w:p>
    <w:p>
      <w:pPr>
        <w:spacing w:before="100" w:beforeAutospacing="1" w:after="100" w:afterAutospacing="1" w:line="1000" w:lineRule="exact"/>
        <w:jc w:val="center"/>
        <w:outlineLvl w:val="1"/>
        <w:rPr>
          <w:rFonts w:ascii="Times New Roman" w:hAnsi="Times New Roman" w:eastAsia="方正小标宋简体" w:cs="Times New Roman"/>
          <w:bCs/>
          <w:kern w:val="0"/>
          <w:sz w:val="72"/>
          <w:szCs w:val="72"/>
        </w:rPr>
      </w:pPr>
      <w:r>
        <w:rPr>
          <w:rFonts w:hint="eastAsia" w:ascii="Times New Roman" w:hAnsi="Times New Roman" w:eastAsia="方正小标宋简体" w:cs="Times New Roman"/>
          <w:bCs/>
          <w:kern w:val="0"/>
          <w:sz w:val="72"/>
          <w:szCs w:val="72"/>
          <w:lang w:eastAsia="zh-CN"/>
        </w:rPr>
        <w:t>2025年</w:t>
      </w:r>
      <w:r>
        <w:rPr>
          <w:rFonts w:ascii="Times New Roman" w:hAnsi="Times New Roman" w:eastAsia="方正小标宋简体" w:cs="Times New Roman"/>
          <w:bCs/>
          <w:kern w:val="0"/>
          <w:sz w:val="72"/>
          <w:szCs w:val="72"/>
        </w:rPr>
        <w:t>度</w:t>
      </w:r>
    </w:p>
    <w:p>
      <w:pPr>
        <w:spacing w:before="100" w:beforeAutospacing="1" w:after="100" w:afterAutospacing="1" w:line="1000" w:lineRule="exact"/>
        <w:jc w:val="center"/>
        <w:outlineLvl w:val="1"/>
        <w:rPr>
          <w:rFonts w:ascii="Times New Roman" w:hAnsi="Times New Roman" w:eastAsia="方正小标宋简体" w:cs="Times New Roman"/>
          <w:bCs/>
          <w:kern w:val="0"/>
          <w:sz w:val="72"/>
          <w:szCs w:val="72"/>
        </w:rPr>
      </w:pPr>
    </w:p>
    <w:p>
      <w:pPr>
        <w:spacing w:before="100" w:beforeAutospacing="1" w:after="100" w:afterAutospacing="1" w:line="1000" w:lineRule="exact"/>
        <w:jc w:val="center"/>
        <w:outlineLvl w:val="1"/>
        <w:rPr>
          <w:rFonts w:ascii="Times New Roman" w:hAnsi="Times New Roman" w:eastAsia="方正小标宋简体" w:cs="Times New Roman"/>
          <w:bCs/>
          <w:spacing w:val="-20"/>
          <w:kern w:val="0"/>
          <w:sz w:val="84"/>
          <w:szCs w:val="84"/>
        </w:rPr>
      </w:pPr>
      <w:r>
        <w:rPr>
          <w:rFonts w:ascii="Times New Roman" w:hAnsi="Times New Roman" w:eastAsia="方正小标宋简体" w:cs="Times New Roman"/>
          <w:bCs/>
          <w:spacing w:val="-20"/>
          <w:kern w:val="0"/>
          <w:sz w:val="72"/>
          <w:szCs w:val="72"/>
        </w:rPr>
        <w:t>中卫市</w:t>
      </w:r>
      <w:r>
        <w:rPr>
          <w:rFonts w:hint="eastAsia" w:ascii="Times New Roman" w:hAnsi="Times New Roman" w:eastAsia="方正小标宋简体" w:cs="Times New Roman"/>
          <w:bCs/>
          <w:spacing w:val="-20"/>
          <w:kern w:val="0"/>
          <w:sz w:val="72"/>
          <w:szCs w:val="72"/>
          <w:lang w:eastAsia="zh-CN"/>
        </w:rPr>
        <w:t>红十字会</w:t>
      </w:r>
      <w:r>
        <w:rPr>
          <w:rFonts w:ascii="Times New Roman" w:hAnsi="Times New Roman" w:eastAsia="方正小标宋简体" w:cs="Times New Roman"/>
          <w:bCs/>
          <w:spacing w:val="-20"/>
          <w:kern w:val="0"/>
          <w:sz w:val="72"/>
          <w:szCs w:val="72"/>
        </w:rPr>
        <w:t>部门决算</w:t>
      </w:r>
    </w:p>
    <w:p>
      <w:pPr>
        <w:spacing w:before="100" w:beforeAutospacing="1" w:after="100" w:afterAutospacing="1" w:line="1000" w:lineRule="exact"/>
        <w:jc w:val="center"/>
        <w:outlineLvl w:val="1"/>
        <w:rPr>
          <w:rFonts w:ascii="Times New Roman" w:hAnsi="Times New Roman" w:eastAsia="黑体" w:cs="Times New Roman"/>
          <w:b/>
          <w:kern w:val="0"/>
          <w:sz w:val="84"/>
          <w:szCs w:val="84"/>
        </w:rPr>
      </w:pPr>
    </w:p>
    <w:p>
      <w:pPr>
        <w:spacing w:before="100" w:beforeAutospacing="1" w:after="100" w:afterAutospacing="1" w:line="580" w:lineRule="exact"/>
        <w:jc w:val="center"/>
        <w:outlineLvl w:val="1"/>
        <w:rPr>
          <w:rFonts w:ascii="Times New Roman" w:hAnsi="Times New Roman" w:cs="Times New Roman"/>
          <w:b/>
          <w:kern w:val="0"/>
          <w:sz w:val="44"/>
          <w:szCs w:val="44"/>
        </w:rPr>
      </w:pPr>
    </w:p>
    <w:p>
      <w:pPr>
        <w:spacing w:before="100" w:beforeAutospacing="1" w:after="100" w:afterAutospacing="1" w:line="580" w:lineRule="exact"/>
        <w:outlineLvl w:val="1"/>
        <w:rPr>
          <w:rFonts w:ascii="Times New Roman" w:hAnsi="Times New Roman" w:cs="Times New Roman"/>
          <w:b/>
          <w:kern w:val="0"/>
          <w:sz w:val="44"/>
          <w:szCs w:val="44"/>
        </w:rPr>
      </w:pPr>
    </w:p>
    <w:p>
      <w:pPr>
        <w:spacing w:before="100" w:beforeAutospacing="1" w:after="100" w:afterAutospacing="1" w:line="580" w:lineRule="exact"/>
        <w:outlineLvl w:val="1"/>
        <w:rPr>
          <w:rFonts w:ascii="Times New Roman" w:hAnsi="Times New Roman" w:cs="Times New Roman"/>
          <w:b/>
          <w:kern w:val="0"/>
          <w:sz w:val="44"/>
          <w:szCs w:val="44"/>
        </w:rPr>
      </w:pPr>
    </w:p>
    <w:p>
      <w:pPr>
        <w:spacing w:before="100" w:beforeAutospacing="1" w:after="100" w:afterAutospacing="1" w:line="580" w:lineRule="exact"/>
        <w:outlineLvl w:val="1"/>
        <w:rPr>
          <w:rFonts w:ascii="Times New Roman" w:hAnsi="Times New Roman" w:cs="Times New Roman"/>
          <w:b/>
          <w:kern w:val="0"/>
          <w:sz w:val="44"/>
          <w:szCs w:val="44"/>
        </w:rPr>
      </w:pPr>
    </w:p>
    <w:p>
      <w:pPr>
        <w:spacing w:before="100" w:beforeAutospacing="1" w:after="100" w:afterAutospacing="1" w:line="580" w:lineRule="exact"/>
        <w:outlineLvl w:val="1"/>
        <w:rPr>
          <w:rFonts w:ascii="Times New Roman" w:hAnsi="Times New Roman" w:cs="Times New Roman"/>
          <w:b/>
          <w:kern w:val="0"/>
          <w:sz w:val="44"/>
          <w:szCs w:val="44"/>
        </w:rPr>
      </w:pPr>
    </w:p>
    <w:p>
      <w:pPr>
        <w:spacing w:before="100" w:beforeAutospacing="1" w:after="100" w:afterAutospacing="1" w:line="580" w:lineRule="exact"/>
        <w:outlineLvl w:val="1"/>
        <w:rPr>
          <w:rFonts w:ascii="Times New Roman" w:hAnsi="Times New Roman" w:cs="Times New Roman"/>
          <w:b/>
          <w:kern w:val="0"/>
          <w:sz w:val="44"/>
          <w:szCs w:val="44"/>
        </w:rPr>
      </w:pPr>
    </w:p>
    <w:p>
      <w:pPr>
        <w:spacing w:line="580" w:lineRule="exact"/>
        <w:jc w:val="center"/>
        <w:outlineLvl w:val="1"/>
        <w:rPr>
          <w:rFonts w:ascii="Times New Roman" w:hAnsi="Times New Roman" w:eastAsia="黑体" w:cs="Times New Roman"/>
          <w:bCs/>
          <w:kern w:val="0"/>
          <w:sz w:val="44"/>
          <w:szCs w:val="44"/>
        </w:rPr>
      </w:pPr>
      <w:r>
        <w:rPr>
          <w:rFonts w:ascii="Times New Roman" w:hAnsi="Times New Roman" w:eastAsia="黑体" w:cs="Times New Roman"/>
          <w:bCs/>
          <w:kern w:val="0"/>
          <w:sz w:val="44"/>
          <w:szCs w:val="44"/>
        </w:rPr>
        <w:t>目</w:t>
      </w:r>
      <w:r>
        <w:rPr>
          <w:rFonts w:hint="eastAsia" w:ascii="Times New Roman" w:hAnsi="Times New Roman" w:eastAsia="黑体" w:cs="Times New Roman"/>
          <w:bCs/>
          <w:kern w:val="0"/>
          <w:sz w:val="44"/>
          <w:szCs w:val="44"/>
        </w:rPr>
        <w:t xml:space="preserve">  </w:t>
      </w:r>
      <w:r>
        <w:rPr>
          <w:rFonts w:ascii="Times New Roman" w:hAnsi="Times New Roman" w:eastAsia="黑体" w:cs="Times New Roman"/>
          <w:bCs/>
          <w:kern w:val="0"/>
          <w:sz w:val="44"/>
          <w:szCs w:val="44"/>
        </w:rPr>
        <w:t>录</w:t>
      </w:r>
    </w:p>
    <w:p>
      <w:pPr>
        <w:spacing w:line="580" w:lineRule="exact"/>
        <w:jc w:val="center"/>
        <w:outlineLvl w:val="1"/>
        <w:rPr>
          <w:rFonts w:ascii="Times New Roman" w:hAnsi="Times New Roman" w:cs="Times New Roman"/>
          <w:b/>
          <w:kern w:val="0"/>
          <w:sz w:val="44"/>
          <w:szCs w:val="44"/>
        </w:rPr>
      </w:pPr>
    </w:p>
    <w:p>
      <w:pPr>
        <w:spacing w:line="580" w:lineRule="exact"/>
        <w:outlineLvl w:val="1"/>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第一部分  单位概况</w:t>
      </w:r>
    </w:p>
    <w:p>
      <w:pPr>
        <w:spacing w:line="580" w:lineRule="exact"/>
        <w:ind w:firstLine="640" w:firstLineChars="200"/>
        <w:outlineLvl w:val="1"/>
        <w:rPr>
          <w:rFonts w:hint="default" w:ascii="Times New Roman" w:hAnsi="Times New Roman" w:eastAsia="仿宋_GB2312" w:cs="Times New Roman"/>
          <w:b/>
          <w:kern w:val="0"/>
          <w:sz w:val="32"/>
          <w:szCs w:val="32"/>
        </w:rPr>
      </w:pPr>
      <w:r>
        <w:rPr>
          <w:rFonts w:hint="default" w:ascii="Times New Roman" w:hAnsi="Times New Roman" w:eastAsia="仿宋_GB2312" w:cs="Times New Roman"/>
          <w:kern w:val="0"/>
          <w:sz w:val="32"/>
          <w:szCs w:val="32"/>
        </w:rPr>
        <w:t>一、</w:t>
      </w:r>
      <w:r>
        <w:rPr>
          <w:rFonts w:hint="default" w:ascii="Times New Roman" w:hAnsi="Times New Roman" w:eastAsia="仿宋_GB2312" w:cs="Times New Roman"/>
          <w:kern w:val="0"/>
          <w:sz w:val="32"/>
          <w:szCs w:val="32"/>
          <w:lang w:eastAsia="zh-CN"/>
        </w:rPr>
        <w:t>部门职责</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w:t>
      </w:r>
      <w:r>
        <w:rPr>
          <w:rFonts w:hint="default" w:ascii="Times New Roman" w:hAnsi="Times New Roman" w:eastAsia="仿宋_GB2312" w:cs="Times New Roman"/>
          <w:kern w:val="0"/>
          <w:sz w:val="32"/>
          <w:szCs w:val="32"/>
          <w:lang w:eastAsia="zh-CN"/>
        </w:rPr>
        <w:t>机构设置</w:t>
      </w:r>
    </w:p>
    <w:p>
      <w:pPr>
        <w:spacing w:before="156" w:beforeLines="50" w:line="580" w:lineRule="exact"/>
        <w:outlineLvl w:val="1"/>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 xml:space="preserve">第二部分  </w:t>
      </w:r>
      <w:r>
        <w:rPr>
          <w:rFonts w:hint="eastAsia" w:ascii="Times New Roman" w:hAnsi="Times New Roman" w:eastAsia="楷体_GB2312" w:cs="Times New Roman"/>
          <w:b/>
          <w:kern w:val="0"/>
          <w:sz w:val="32"/>
          <w:szCs w:val="32"/>
          <w:lang w:eastAsia="zh-CN"/>
        </w:rPr>
        <w:t>2025年</w:t>
      </w:r>
      <w:r>
        <w:rPr>
          <w:rFonts w:hint="default" w:ascii="Times New Roman" w:hAnsi="Times New Roman" w:eastAsia="楷体_GB2312" w:cs="Times New Roman"/>
          <w:b/>
          <w:kern w:val="0"/>
          <w:sz w:val="32"/>
          <w:szCs w:val="32"/>
        </w:rPr>
        <w:t>度部门决算表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五、一般公共预算财政拨款支出决算表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六、一般公共预算财政拨款基本支出决算</w:t>
      </w:r>
      <w:r>
        <w:rPr>
          <w:rFonts w:hint="eastAsia" w:ascii="Times New Roman" w:hAnsi="Times New Roman" w:eastAsia="仿宋_GB2312" w:cs="Times New Roman"/>
          <w:sz w:val="32"/>
          <w:szCs w:val="32"/>
          <w:lang w:val="en-US" w:eastAsia="zh-CN"/>
        </w:rPr>
        <w:t>明细</w:t>
      </w:r>
      <w:r>
        <w:rPr>
          <w:rFonts w:hint="default" w:ascii="Times New Roman" w:hAnsi="Times New Roman" w:eastAsia="仿宋_GB2312" w:cs="Times New Roman"/>
          <w:sz w:val="32"/>
          <w:szCs w:val="32"/>
        </w:rPr>
        <w:t>表</w:t>
      </w:r>
    </w:p>
    <w:p>
      <w:pPr>
        <w:spacing w:line="580" w:lineRule="exact"/>
        <w:ind w:firstLine="664"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七、</w:t>
      </w:r>
      <w:r>
        <w:rPr>
          <w:rFonts w:hint="default" w:ascii="Times New Roman" w:hAnsi="Times New Roman" w:eastAsia="仿宋_GB2312" w:cs="Times New Roman"/>
          <w:sz w:val="32"/>
          <w:szCs w:val="32"/>
        </w:rPr>
        <w:t>财政拨款“三公”经费支出决算表</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八、政府性基金预算财政拨款收入支出决算表</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九、国有资本经营预算财政拨款支出决算表</w:t>
      </w:r>
    </w:p>
    <w:p>
      <w:pPr>
        <w:spacing w:line="580" w:lineRule="exact"/>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 xml:space="preserve">第三部分  </w:t>
      </w:r>
      <w:r>
        <w:rPr>
          <w:rFonts w:hint="eastAsia" w:ascii="Times New Roman" w:hAnsi="Times New Roman" w:eastAsia="楷体_GB2312" w:cs="Times New Roman"/>
          <w:b/>
          <w:kern w:val="0"/>
          <w:sz w:val="32"/>
          <w:szCs w:val="32"/>
          <w:lang w:eastAsia="zh-CN"/>
        </w:rPr>
        <w:t>2025年</w:t>
      </w:r>
      <w:r>
        <w:rPr>
          <w:rFonts w:hint="default" w:ascii="Times New Roman" w:hAnsi="Times New Roman" w:eastAsia="楷体_GB2312" w:cs="Times New Roman"/>
          <w:b/>
          <w:kern w:val="0"/>
          <w:sz w:val="32"/>
          <w:szCs w:val="32"/>
        </w:rPr>
        <w:t>度部门决算情况说明</w:t>
      </w:r>
    </w:p>
    <w:p>
      <w:pPr>
        <w:numPr>
          <w:ilvl w:val="0"/>
          <w:numId w:val="1"/>
        </w:num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收入支出决算总体情况说明</w:t>
      </w:r>
    </w:p>
    <w:p>
      <w:pPr>
        <w:numPr>
          <w:ilvl w:val="0"/>
          <w:numId w:val="0"/>
        </w:num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二、收入决算情况说明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三、支出决算情况说明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四、财政拨款收入支出决算总体情况说明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五、一般公共预算财政拨款支出决算情况说明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六、一般公共预算财政拨款基本支出决算情况说明</w:t>
      </w:r>
    </w:p>
    <w:p>
      <w:pPr>
        <w:spacing w:line="580" w:lineRule="exact"/>
        <w:ind w:firstLine="640" w:firstLineChars="200"/>
        <w:outlineLvl w:val="1"/>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七、财政拨款“三公”经费支出决算情况说明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八、政府性基金预算财政拨款收入支出决算情况说明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九、</w:t>
      </w:r>
      <w:r>
        <w:rPr>
          <w:rFonts w:hint="default" w:ascii="Times New Roman" w:hAnsi="Times New Roman" w:eastAsia="仿宋_GB2312" w:cs="Times New Roman"/>
          <w:kern w:val="0"/>
          <w:sz w:val="32"/>
          <w:szCs w:val="32"/>
          <w:lang w:eastAsia="zh-CN"/>
        </w:rPr>
        <w:t>国有资本经营预算财政拨款支出情况说明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十、</w:t>
      </w:r>
      <w:r>
        <w:rPr>
          <w:rFonts w:hint="default" w:ascii="Times New Roman" w:hAnsi="Times New Roman" w:eastAsia="仿宋_GB2312" w:cs="Times New Roman"/>
          <w:kern w:val="0"/>
          <w:sz w:val="32"/>
          <w:szCs w:val="32"/>
        </w:rPr>
        <w:t>其他重要事项的情况说明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（一）机关运行经费支出情况说明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（二）政府采购</w:t>
      </w:r>
      <w:r>
        <w:rPr>
          <w:rFonts w:hint="eastAsia" w:ascii="Times New Roman" w:hAnsi="Times New Roman" w:eastAsia="仿宋_GB2312" w:cs="Times New Roman"/>
          <w:kern w:val="0"/>
          <w:sz w:val="32"/>
          <w:szCs w:val="32"/>
          <w:lang w:eastAsia="zh-CN"/>
        </w:rPr>
        <w:t>支出</w:t>
      </w:r>
      <w:r>
        <w:rPr>
          <w:rFonts w:hint="default" w:ascii="Times New Roman" w:hAnsi="Times New Roman" w:eastAsia="仿宋_GB2312" w:cs="Times New Roman"/>
          <w:kern w:val="0"/>
          <w:sz w:val="32"/>
          <w:szCs w:val="32"/>
        </w:rPr>
        <w:t>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（三）国有资产占有使用情况说明</w:t>
      </w:r>
    </w:p>
    <w:p>
      <w:pPr>
        <w:spacing w:line="58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（四）预算绩效管理工作开展情况</w:t>
      </w:r>
      <w:r>
        <w:rPr>
          <w:rFonts w:hint="default" w:ascii="Times New Roman" w:hAnsi="Times New Roman" w:eastAsia="仿宋_GB2312" w:cs="Times New Roman"/>
          <w:kern w:val="0"/>
          <w:sz w:val="32"/>
          <w:szCs w:val="32"/>
          <w:lang w:eastAsia="zh-CN"/>
        </w:rPr>
        <w:t>说明</w:t>
      </w:r>
    </w:p>
    <w:p>
      <w:pPr>
        <w:spacing w:after="156" w:afterLines="50" w:line="580" w:lineRule="exact"/>
        <w:outlineLvl w:val="1"/>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第四部分  名词解释</w:t>
      </w:r>
    </w:p>
    <w:p>
      <w:pPr>
        <w:spacing w:after="156" w:afterLines="50" w:line="580" w:lineRule="exact"/>
        <w:outlineLvl w:val="1"/>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第</w:t>
      </w:r>
      <w:r>
        <w:rPr>
          <w:rFonts w:hint="default" w:ascii="Times New Roman" w:hAnsi="Times New Roman" w:eastAsia="楷体_GB2312" w:cs="Times New Roman"/>
          <w:b/>
          <w:kern w:val="0"/>
          <w:sz w:val="32"/>
          <w:szCs w:val="32"/>
          <w:lang w:eastAsia="zh-CN"/>
        </w:rPr>
        <w:t>五</w:t>
      </w:r>
      <w:r>
        <w:rPr>
          <w:rFonts w:hint="default" w:ascii="Times New Roman" w:hAnsi="Times New Roman" w:eastAsia="楷体_GB2312" w:cs="Times New Roman"/>
          <w:b/>
          <w:kern w:val="0"/>
          <w:sz w:val="32"/>
          <w:szCs w:val="32"/>
        </w:rPr>
        <w:t xml:space="preserve">部分  </w:t>
      </w:r>
      <w:r>
        <w:rPr>
          <w:rFonts w:hint="default" w:ascii="Times New Roman" w:hAnsi="Times New Roman" w:eastAsia="楷体_GB2312" w:cs="Times New Roman"/>
          <w:b/>
          <w:kern w:val="0"/>
          <w:sz w:val="32"/>
          <w:szCs w:val="32"/>
          <w:lang w:eastAsia="zh-CN"/>
        </w:rPr>
        <w:t>附件</w:t>
      </w:r>
    </w:p>
    <w:p>
      <w:pPr>
        <w:spacing w:line="580" w:lineRule="exact"/>
        <w:outlineLvl w:val="1"/>
        <w:rPr>
          <w:rFonts w:ascii="Times New Roman" w:hAnsi="Times New Roman" w:eastAsia="仿宋_GB2312" w:cs="Times New Roman"/>
          <w:b/>
          <w:kern w:val="0"/>
          <w:sz w:val="32"/>
          <w:szCs w:val="32"/>
        </w:rPr>
      </w:pPr>
    </w:p>
    <w:p>
      <w:pPr>
        <w:spacing w:line="580" w:lineRule="exact"/>
        <w:outlineLvl w:val="1"/>
        <w:rPr>
          <w:rFonts w:ascii="Times New Roman" w:hAnsi="Times New Roman" w:eastAsia="仿宋_GB2312" w:cs="Times New Roman"/>
          <w:b/>
          <w:kern w:val="0"/>
          <w:sz w:val="32"/>
          <w:szCs w:val="32"/>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p>
      <w:pPr>
        <w:spacing w:before="156" w:beforeLines="50" w:line="580" w:lineRule="exact"/>
        <w:ind w:firstLine="176" w:firstLineChars="49"/>
        <w:jc w:val="center"/>
        <w:outlineLvl w:val="1"/>
        <w:rPr>
          <w:rFonts w:ascii="Times New Roman" w:hAnsi="Times New Roman" w:eastAsia="黑体" w:cs="Times New Roman"/>
          <w:kern w:val="0"/>
          <w:sz w:val="36"/>
          <w:szCs w:val="36"/>
        </w:rPr>
      </w:pPr>
      <w:r>
        <w:rPr>
          <w:rFonts w:ascii="Times New Roman" w:hAnsi="Times New Roman" w:eastAsia="黑体" w:cs="Times New Roman"/>
          <w:kern w:val="0"/>
          <w:sz w:val="36"/>
          <w:szCs w:val="36"/>
        </w:rPr>
        <w:t>第一部分  单位概况</w:t>
      </w:r>
    </w:p>
    <w:p>
      <w:pPr>
        <w:widowControl/>
        <w:spacing w:line="560" w:lineRule="exact"/>
        <w:jc w:val="left"/>
        <w:rPr>
          <w:rFonts w:ascii="Times New Roman" w:hAnsi="Times New Roman" w:eastAsia="黑体" w:cs="Times New Roman"/>
          <w:b/>
          <w:bCs/>
          <w:kern w:val="0"/>
          <w:sz w:val="32"/>
          <w:szCs w:val="32"/>
        </w:rPr>
      </w:pPr>
      <w:r>
        <w:rPr>
          <w:rFonts w:ascii="Times New Roman" w:hAnsi="Times New Roman" w:eastAsia="仿宋_GB2312" w:cs="Times New Roman"/>
          <w:bCs/>
          <w:kern w:val="0"/>
          <w:sz w:val="32"/>
          <w:szCs w:val="32"/>
        </w:rPr>
        <w:t xml:space="preserve"> </w:t>
      </w:r>
    </w:p>
    <w:p>
      <w:pPr>
        <w:widowControl/>
        <w:spacing w:line="560" w:lineRule="exact"/>
        <w:ind w:firstLine="643" w:firstLineChars="200"/>
        <w:jc w:val="left"/>
        <w:rPr>
          <w:rFonts w:ascii="Times New Roman" w:hAnsi="Times New Roman" w:eastAsia="黑体" w:cs="Times New Roman"/>
          <w:bCs/>
          <w:kern w:val="0"/>
          <w:sz w:val="32"/>
          <w:szCs w:val="32"/>
        </w:rPr>
      </w:pPr>
      <w:r>
        <w:rPr>
          <w:rFonts w:ascii="Times New Roman" w:hAnsi="Times New Roman" w:eastAsia="楷体_GB2312" w:cs="Times New Roman"/>
          <w:b/>
          <w:kern w:val="0"/>
          <w:sz w:val="32"/>
          <w:szCs w:val="32"/>
        </w:rPr>
        <w:t>一、部门职责</w:t>
      </w:r>
    </w:p>
    <w:p>
      <w:pPr>
        <w:ind w:firstLine="640" w:firstLineChars="200"/>
        <w:jc w:val="left"/>
        <w:rPr>
          <w:rFonts w:hint="default" w:ascii="仿宋_GB2312" w:eastAsia="仿宋_GB2312"/>
          <w:sz w:val="32"/>
          <w:szCs w:val="32"/>
        </w:rPr>
      </w:pPr>
      <w:r>
        <w:rPr>
          <w:rFonts w:hint="eastAsia" w:ascii="仿宋_GB2312" w:eastAsia="仿宋_GB2312"/>
          <w:sz w:val="32"/>
          <w:szCs w:val="32"/>
          <w:lang w:eastAsia="zh-CN"/>
        </w:rPr>
        <w:t>（一）</w:t>
      </w:r>
      <w:r>
        <w:rPr>
          <w:rFonts w:hint="default" w:ascii="仿宋_GB2312" w:eastAsia="仿宋_GB2312"/>
          <w:sz w:val="32"/>
          <w:szCs w:val="32"/>
        </w:rPr>
        <w:t>贯彻实施《中华人民共和国红十字会法》《中华人民共和国红十字标志使用办法》，执行《中国红十字会章程》</w:t>
      </w:r>
      <w:r>
        <w:rPr>
          <w:rFonts w:hint="eastAsia" w:ascii="仿宋_GB2312" w:eastAsia="仿宋_GB2312"/>
          <w:sz w:val="32"/>
          <w:szCs w:val="32"/>
          <w:lang w:eastAsia="zh-CN"/>
        </w:rPr>
        <w:t>，</w:t>
      </w:r>
      <w:r>
        <w:rPr>
          <w:rFonts w:hint="default" w:ascii="仿宋_GB2312" w:eastAsia="仿宋_GB2312"/>
          <w:sz w:val="32"/>
          <w:szCs w:val="32"/>
        </w:rPr>
        <w:t>指导各县</w:t>
      </w:r>
      <w:r>
        <w:rPr>
          <w:rFonts w:hint="eastAsia" w:ascii="仿宋_GB2312" w:eastAsia="仿宋_GB2312"/>
          <w:sz w:val="32"/>
          <w:szCs w:val="32"/>
          <w:lang w:eastAsia="zh-CN"/>
        </w:rPr>
        <w:t>（</w:t>
      </w:r>
      <w:r>
        <w:rPr>
          <w:rFonts w:hint="default" w:ascii="仿宋_GB2312" w:eastAsia="仿宋_GB2312"/>
          <w:sz w:val="32"/>
          <w:szCs w:val="32"/>
        </w:rPr>
        <w:t>区</w:t>
      </w:r>
      <w:r>
        <w:rPr>
          <w:rFonts w:hint="eastAsia" w:ascii="仿宋_GB2312" w:eastAsia="仿宋_GB2312"/>
          <w:sz w:val="32"/>
          <w:szCs w:val="32"/>
          <w:lang w:eastAsia="zh-CN"/>
        </w:rPr>
        <w:t>）</w:t>
      </w:r>
      <w:r>
        <w:rPr>
          <w:rFonts w:hint="default" w:ascii="仿宋_GB2312" w:eastAsia="仿宋_GB2312"/>
          <w:sz w:val="32"/>
          <w:szCs w:val="32"/>
        </w:rPr>
        <w:t>红十字会开展全市性活动</w:t>
      </w:r>
      <w:r>
        <w:rPr>
          <w:rFonts w:hint="eastAsia" w:ascii="仿宋_GB2312" w:eastAsia="仿宋_GB2312"/>
          <w:sz w:val="32"/>
          <w:szCs w:val="32"/>
          <w:lang w:eastAsia="zh-CN"/>
        </w:rPr>
        <w:t>，</w:t>
      </w:r>
      <w:r>
        <w:rPr>
          <w:rFonts w:hint="default" w:ascii="仿宋_GB2312" w:eastAsia="仿宋_GB2312"/>
          <w:sz w:val="32"/>
          <w:szCs w:val="32"/>
        </w:rPr>
        <w:t>推动市红十字会各项工作的开展。</w:t>
      </w:r>
    </w:p>
    <w:p>
      <w:p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开展救</w:t>
      </w:r>
      <w:r>
        <w:rPr>
          <w:rFonts w:hint="eastAsia" w:ascii="仿宋_GB2312" w:eastAsia="仿宋_GB2312"/>
          <w:sz w:val="32"/>
          <w:szCs w:val="32"/>
          <w:lang w:val="en-US" w:eastAsia="zh-CN"/>
        </w:rPr>
        <w:t>援</w:t>
      </w:r>
      <w:r>
        <w:rPr>
          <w:rFonts w:hint="eastAsia" w:ascii="仿宋_GB2312" w:eastAsia="仿宋_GB2312"/>
          <w:sz w:val="32"/>
          <w:szCs w:val="32"/>
        </w:rPr>
        <w:t>、救灾工作，建立红十字应急救援制度。在战争、武装冲突和自然灾害、事故灾难、公共卫生事件等突发事件中，对伤病人员和其他受害者提供紧急救援和人道救助。</w:t>
      </w:r>
    </w:p>
    <w:p>
      <w:p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开展应急救护培训，普及应急救护、防灾避险和卫生健康知识，组织志愿者参与现场救护。</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（四）</w:t>
      </w:r>
      <w:r>
        <w:rPr>
          <w:rFonts w:hint="eastAsia" w:ascii="仿宋_GB2312" w:eastAsia="仿宋_GB2312"/>
          <w:sz w:val="32"/>
          <w:szCs w:val="32"/>
        </w:rPr>
        <w:t>参与、推动无偿献血、遗体和人体器官捐献工作，参与开展造血干细胞捐献的相关工作。</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（五）</w:t>
      </w:r>
      <w:r>
        <w:rPr>
          <w:rFonts w:hint="eastAsia" w:ascii="仿宋_GB2312" w:eastAsia="仿宋_GB2312"/>
          <w:sz w:val="32"/>
          <w:szCs w:val="32"/>
        </w:rPr>
        <w:t>组织红十字志愿服务活动，开展有益于青少年身心健康的红十字青少年活动。</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（六）</w:t>
      </w:r>
      <w:r>
        <w:rPr>
          <w:rFonts w:hint="eastAsia" w:ascii="仿宋_GB2312" w:eastAsia="仿宋_GB2312"/>
          <w:sz w:val="32"/>
          <w:szCs w:val="32"/>
        </w:rPr>
        <w:t>宣传国际红十字与红新月运动的基本原则和日内瓦公约及其附加议定书，并依照有关规定开展工作。</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（七）</w:t>
      </w:r>
      <w:r>
        <w:rPr>
          <w:rFonts w:hint="eastAsia" w:ascii="仿宋_GB2312" w:eastAsia="仿宋_GB2312"/>
          <w:sz w:val="32"/>
          <w:szCs w:val="32"/>
        </w:rPr>
        <w:t>在上级红十字会指导下，积极参与国际人道主义救援工作。</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（八）</w:t>
      </w:r>
      <w:r>
        <w:rPr>
          <w:rFonts w:hint="eastAsia" w:ascii="仿宋_GB2312" w:eastAsia="仿宋_GB2312"/>
          <w:sz w:val="32"/>
          <w:szCs w:val="32"/>
        </w:rPr>
        <w:t>协助市政府开展与其职责相关的其他人道主义服务活动。</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（九）</w:t>
      </w:r>
      <w:r>
        <w:rPr>
          <w:rFonts w:hint="eastAsia" w:ascii="仿宋_GB2312" w:eastAsia="仿宋_GB2312"/>
          <w:sz w:val="32"/>
          <w:szCs w:val="32"/>
        </w:rPr>
        <w:t>依照国际红十字和红新月运动的基本原则，完成市政府委托事宜。</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（十）</w:t>
      </w:r>
      <w:r>
        <w:rPr>
          <w:rFonts w:hint="eastAsia" w:ascii="仿宋_GB2312" w:eastAsia="仿宋_GB2312"/>
          <w:sz w:val="32"/>
          <w:szCs w:val="32"/>
        </w:rPr>
        <w:t>有关职责调整。承担中国造血干细胞捐献者资料库</w:t>
      </w:r>
      <w:r>
        <w:rPr>
          <w:rFonts w:hint="eastAsia" w:ascii="仿宋_GB2312" w:eastAsia="仿宋_GB2312"/>
          <w:sz w:val="32"/>
          <w:szCs w:val="32"/>
          <w:lang w:eastAsia="zh-CN"/>
        </w:rPr>
        <w:t>宁夏</w:t>
      </w:r>
      <w:r>
        <w:rPr>
          <w:rFonts w:hint="eastAsia" w:ascii="仿宋_GB2312" w:eastAsia="仿宋_GB2312"/>
          <w:sz w:val="32"/>
          <w:szCs w:val="32"/>
        </w:rPr>
        <w:t>分库</w:t>
      </w:r>
      <w:r>
        <w:rPr>
          <w:rFonts w:hint="eastAsia" w:ascii="仿宋_GB2312" w:eastAsia="仿宋_GB2312"/>
          <w:sz w:val="32"/>
          <w:szCs w:val="32"/>
          <w:lang w:eastAsia="zh-CN"/>
        </w:rPr>
        <w:t>中卫</w:t>
      </w:r>
      <w:r>
        <w:rPr>
          <w:rFonts w:hint="eastAsia" w:ascii="仿宋_GB2312" w:eastAsia="仿宋_GB2312"/>
          <w:sz w:val="32"/>
          <w:szCs w:val="32"/>
        </w:rPr>
        <w:t>市工作站宣传动员、血样采集、资料录入及</w:t>
      </w:r>
      <w:r>
        <w:rPr>
          <w:rFonts w:hint="eastAsia" w:ascii="仿宋_GB2312" w:eastAsia="仿宋_GB2312"/>
          <w:sz w:val="32"/>
          <w:szCs w:val="32"/>
          <w:highlight w:val="none"/>
          <w:lang w:val="en-US" w:eastAsia="zh-CN"/>
        </w:rPr>
        <w:t>供者</w:t>
      </w:r>
      <w:r>
        <w:rPr>
          <w:rFonts w:hint="eastAsia" w:ascii="仿宋_GB2312" w:eastAsia="仿宋_GB2312"/>
          <w:sz w:val="32"/>
          <w:szCs w:val="32"/>
        </w:rPr>
        <w:t>服务等工作。</w:t>
      </w:r>
    </w:p>
    <w:p>
      <w:pPr>
        <w:widowControl/>
        <w:spacing w:line="560" w:lineRule="exact"/>
        <w:ind w:firstLine="643" w:firstLineChars="200"/>
        <w:jc w:val="left"/>
        <w:rPr>
          <w:rFonts w:ascii="Times New Roman" w:hAnsi="Times New Roman" w:eastAsia="楷体_GB2312" w:cs="Times New Roman"/>
          <w:b/>
          <w:bCs/>
          <w:kern w:val="0"/>
          <w:sz w:val="32"/>
          <w:szCs w:val="32"/>
        </w:rPr>
      </w:pPr>
      <w:r>
        <w:rPr>
          <w:rFonts w:ascii="Times New Roman" w:hAnsi="Times New Roman" w:eastAsia="楷体_GB2312" w:cs="Times New Roman"/>
          <w:b/>
          <w:bCs/>
          <w:kern w:val="0"/>
          <w:sz w:val="32"/>
          <w:szCs w:val="32"/>
        </w:rPr>
        <w:t>二、机构设置</w:t>
      </w:r>
    </w:p>
    <w:p>
      <w:pPr>
        <w:widowControl/>
        <w:spacing w:line="560" w:lineRule="exact"/>
        <w:ind w:firstLine="640" w:firstLineChars="200"/>
        <w:jc w:val="left"/>
        <w:rPr>
          <w:rFonts w:hint="eastAsia" w:ascii="Times New Roman" w:hAnsi="Times New Roman" w:eastAsia="仿宋_GB2312" w:cs="Times New Roman"/>
          <w:color w:val="auto"/>
          <w:kern w:val="0"/>
          <w:sz w:val="32"/>
          <w:szCs w:val="32"/>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ascii="Times New Roman" w:hAnsi="Times New Roman" w:eastAsia="仿宋_GB2312" w:cs="Times New Roman"/>
          <w:kern w:val="0"/>
          <w:sz w:val="32"/>
          <w:szCs w:val="32"/>
        </w:rPr>
        <w:t>按照部门决算编报要求，纳入</w:t>
      </w:r>
      <w:r>
        <w:rPr>
          <w:rFonts w:hint="eastAsia" w:ascii="Times New Roman" w:hAnsi="Times New Roman" w:eastAsia="仿宋" w:cs="Times New Roman"/>
          <w:i w:val="0"/>
          <w:caps w:val="0"/>
          <w:color w:val="auto"/>
          <w:spacing w:val="0"/>
          <w:sz w:val="32"/>
          <w:szCs w:val="32"/>
          <w:shd w:val="clear" w:fill="FFFFFF"/>
          <w:lang w:val="en-US" w:eastAsia="zh-CN"/>
        </w:rPr>
        <w:t>中卫市红十字会2025年度</w:t>
      </w:r>
      <w:r>
        <w:rPr>
          <w:rFonts w:hint="eastAsia" w:ascii="Times New Roman" w:hAnsi="Times New Roman" w:eastAsia="仿宋" w:cs="Times New Roman"/>
          <w:i w:val="0"/>
          <w:caps w:val="0"/>
          <w:color w:val="auto"/>
          <w:spacing w:val="0"/>
          <w:sz w:val="32"/>
          <w:szCs w:val="32"/>
          <w:shd w:val="clear" w:fill="FFFFFF"/>
          <w:lang w:eastAsia="zh-CN"/>
        </w:rPr>
        <w:t>部门决算</w:t>
      </w:r>
      <w:r>
        <w:rPr>
          <w:rFonts w:ascii="Times New Roman" w:hAnsi="Times New Roman" w:eastAsia="仿宋_GB2312" w:cs="Times New Roman"/>
          <w:kern w:val="0"/>
          <w:sz w:val="32"/>
          <w:szCs w:val="32"/>
        </w:rPr>
        <w:t>编报范围的单位共</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auto"/>
          <w:sz w:val="32"/>
          <w:szCs w:val="32"/>
          <w:lang w:val="en-US" w:eastAsia="zh-CN"/>
        </w:rPr>
        <w:t>无二级预算单位。</w:t>
      </w:r>
      <w:r>
        <w:rPr>
          <w:rFonts w:hint="default" w:ascii="Times New Roman" w:hAnsi="Times New Roman" w:eastAsia="仿宋_GB2312" w:cs="Times New Roman"/>
          <w:color w:val="auto"/>
          <w:kern w:val="0"/>
          <w:sz w:val="32"/>
          <w:szCs w:val="32"/>
          <w:lang w:eastAsia="zh-CN"/>
        </w:rPr>
        <w:t>纳入</w:t>
      </w:r>
      <w:r>
        <w:rPr>
          <w:rFonts w:hint="eastAsia" w:ascii="Times New Roman" w:hAnsi="Times New Roman" w:eastAsia="仿宋_GB2312" w:cs="Times New Roman"/>
          <w:color w:val="auto"/>
          <w:kern w:val="0"/>
          <w:sz w:val="32"/>
          <w:szCs w:val="32"/>
          <w:lang w:val="en-US" w:eastAsia="zh-CN"/>
        </w:rPr>
        <w:t>中卫市红十字会</w:t>
      </w:r>
      <w:r>
        <w:rPr>
          <w:rFonts w:hint="eastAsia" w:ascii="Times New Roman" w:hAnsi="Times New Roman" w:eastAsia="仿宋" w:cs="Times New Roman"/>
          <w:i w:val="0"/>
          <w:caps w:val="0"/>
          <w:color w:val="auto"/>
          <w:spacing w:val="0"/>
          <w:sz w:val="32"/>
          <w:szCs w:val="32"/>
          <w:shd w:val="clear" w:fill="FFFFFF"/>
          <w:lang w:val="en-US" w:eastAsia="zh-CN"/>
        </w:rPr>
        <w:t>2025年</w:t>
      </w:r>
      <w:r>
        <w:rPr>
          <w:rFonts w:hint="default" w:ascii="Times New Roman" w:hAnsi="Times New Roman" w:eastAsia="仿宋_GB2312" w:cs="Times New Roman"/>
          <w:color w:val="auto"/>
          <w:kern w:val="0"/>
          <w:sz w:val="32"/>
          <w:szCs w:val="32"/>
          <w:lang w:val="en-US" w:eastAsia="zh-CN"/>
        </w:rPr>
        <w:t>部门决算编</w:t>
      </w:r>
      <w:r>
        <w:rPr>
          <w:rFonts w:hint="eastAsia" w:ascii="Times New Roman" w:hAnsi="Times New Roman" w:eastAsia="仿宋_GB2312" w:cs="Times New Roman"/>
          <w:color w:val="auto"/>
          <w:kern w:val="0"/>
          <w:sz w:val="32"/>
          <w:szCs w:val="32"/>
          <w:lang w:val="en-US" w:eastAsia="zh-CN"/>
        </w:rPr>
        <w:t>制</w:t>
      </w:r>
      <w:r>
        <w:rPr>
          <w:rFonts w:hint="default" w:ascii="Times New Roman" w:hAnsi="Times New Roman" w:eastAsia="仿宋_GB2312" w:cs="Times New Roman"/>
          <w:color w:val="auto"/>
          <w:kern w:val="0"/>
          <w:sz w:val="32"/>
          <w:szCs w:val="32"/>
          <w:lang w:val="en-US" w:eastAsia="zh-CN"/>
        </w:rPr>
        <w:t>的科室包括：</w:t>
      </w:r>
      <w:r>
        <w:rPr>
          <w:rFonts w:hint="eastAsia" w:ascii="Times New Roman" w:hAnsi="Times New Roman" w:eastAsia="仿宋_GB2312" w:cs="Times New Roman"/>
          <w:color w:val="auto"/>
          <w:kern w:val="0"/>
          <w:sz w:val="32"/>
          <w:szCs w:val="32"/>
          <w:lang w:val="en-US" w:eastAsia="zh-CN"/>
        </w:rPr>
        <w:t>办公室和业务部。</w:t>
      </w:r>
    </w:p>
    <w:tbl>
      <w:tblPr>
        <w:tblStyle w:val="10"/>
        <w:tblW w:w="14287" w:type="dxa"/>
        <w:jc w:val="center"/>
        <w:tblLayout w:type="fixed"/>
        <w:tblCellMar>
          <w:top w:w="0" w:type="dxa"/>
          <w:left w:w="108" w:type="dxa"/>
          <w:bottom w:w="0" w:type="dxa"/>
          <w:right w:w="108" w:type="dxa"/>
        </w:tblCellMar>
      </w:tblPr>
      <w:tblGrid>
        <w:gridCol w:w="4929"/>
        <w:gridCol w:w="547"/>
        <w:gridCol w:w="103"/>
        <w:gridCol w:w="635"/>
        <w:gridCol w:w="1542"/>
        <w:gridCol w:w="3771"/>
        <w:gridCol w:w="701"/>
        <w:gridCol w:w="2059"/>
      </w:tblGrid>
      <w:tr>
        <w:tblPrEx>
          <w:tblCellMar>
            <w:top w:w="0" w:type="dxa"/>
            <w:left w:w="108" w:type="dxa"/>
            <w:bottom w:w="0" w:type="dxa"/>
            <w:right w:w="108" w:type="dxa"/>
          </w:tblCellMar>
        </w:tblPrEx>
        <w:trPr>
          <w:cantSplit/>
          <w:trHeight w:val="1236" w:hRule="exact"/>
          <w:jc w:val="center"/>
        </w:trPr>
        <w:tc>
          <w:tcPr>
            <w:tcW w:w="14287" w:type="dxa"/>
            <w:gridSpan w:val="8"/>
            <w:tcBorders>
              <w:top w:val="nil"/>
              <w:left w:val="nil"/>
              <w:bottom w:val="nil"/>
              <w:right w:val="nil"/>
            </w:tcBorders>
            <w:shd w:val="clear" w:color="auto" w:fill="auto"/>
            <w:vAlign w:val="bottom"/>
          </w:tcPr>
          <w:p>
            <w:pPr>
              <w:keepNext w:val="0"/>
              <w:keepLines w:val="0"/>
              <w:pageBreakBefore w:val="0"/>
              <w:widowControl w:val="0"/>
              <w:kinsoku/>
              <w:wordWrap/>
              <w:overflowPunct/>
              <w:topLinePunct w:val="0"/>
              <w:autoSpaceDE/>
              <w:autoSpaceDN/>
              <w:bidi w:val="0"/>
              <w:adjustRightInd/>
              <w:snapToGrid/>
              <w:spacing w:before="162" w:beforeLines="50" w:line="300" w:lineRule="exact"/>
              <w:ind w:left="0" w:leftChars="0" w:right="0" w:rightChars="0" w:firstLine="126" w:firstLineChars="49"/>
              <w:jc w:val="center"/>
              <w:textAlignment w:val="auto"/>
              <w:outlineLvl w:val="1"/>
              <w:rPr>
                <w:rFonts w:ascii="Times New Roman" w:hAnsi="Times New Roman" w:eastAsia="黑体" w:cs="Times New Roman"/>
                <w:spacing w:val="-11"/>
                <w:kern w:val="0"/>
                <w:sz w:val="28"/>
                <w:szCs w:val="28"/>
              </w:rPr>
            </w:pPr>
            <w:r>
              <w:rPr>
                <w:rFonts w:ascii="Times New Roman" w:hAnsi="Times New Roman" w:eastAsia="黑体" w:cs="Times New Roman"/>
                <w:spacing w:val="-11"/>
                <w:kern w:val="0"/>
                <w:sz w:val="28"/>
                <w:szCs w:val="28"/>
              </w:rPr>
              <w:t xml:space="preserve">第二部分  </w:t>
            </w:r>
            <w:r>
              <w:rPr>
                <w:rFonts w:hint="eastAsia" w:ascii="Times New Roman" w:hAnsi="Times New Roman" w:eastAsia="黑体" w:cs="Times New Roman"/>
                <w:spacing w:val="-11"/>
                <w:kern w:val="0"/>
                <w:sz w:val="28"/>
                <w:szCs w:val="28"/>
                <w:lang w:eastAsia="zh-CN"/>
              </w:rPr>
              <w:t>2025年</w:t>
            </w:r>
            <w:r>
              <w:rPr>
                <w:rFonts w:ascii="Times New Roman" w:hAnsi="Times New Roman" w:eastAsia="黑体" w:cs="Times New Roman"/>
                <w:spacing w:val="-11"/>
                <w:kern w:val="0"/>
                <w:sz w:val="28"/>
                <w:szCs w:val="28"/>
              </w:rPr>
              <w:t>度部门决算表</w:t>
            </w:r>
          </w:p>
          <w:p>
            <w:pPr>
              <w:keepNext w:val="0"/>
              <w:keepLines w:val="0"/>
              <w:pageBreakBefore w:val="0"/>
              <w:widowControl w:val="0"/>
              <w:kinsoku/>
              <w:wordWrap/>
              <w:overflowPunct/>
              <w:topLinePunct w:val="0"/>
              <w:autoSpaceDE/>
              <w:autoSpaceDN/>
              <w:bidi w:val="0"/>
              <w:adjustRightInd/>
              <w:snapToGrid/>
              <w:spacing w:before="162" w:beforeLines="50" w:line="300" w:lineRule="exact"/>
              <w:ind w:left="0" w:leftChars="0" w:right="0" w:rightChars="0" w:firstLine="126" w:firstLineChars="49"/>
              <w:jc w:val="center"/>
              <w:textAlignment w:val="auto"/>
              <w:outlineLvl w:val="1"/>
              <w:rPr>
                <w:rFonts w:ascii="Times New Roman" w:hAnsi="Times New Roman" w:cs="Times New Roman"/>
                <w:b/>
                <w:bCs/>
                <w:color w:val="000000"/>
                <w:spacing w:val="-11"/>
                <w:kern w:val="0"/>
                <w:sz w:val="13"/>
                <w:szCs w:val="13"/>
              </w:rPr>
            </w:pPr>
            <w:r>
              <w:rPr>
                <w:rFonts w:ascii="Times New Roman" w:hAnsi="Times New Roman" w:cs="Times New Roman"/>
                <w:b/>
                <w:bCs/>
                <w:color w:val="000000"/>
                <w:spacing w:val="-11"/>
                <w:kern w:val="0"/>
                <w:sz w:val="28"/>
                <w:szCs w:val="28"/>
              </w:rPr>
              <w:t>收入支出决算总表</w:t>
            </w:r>
          </w:p>
        </w:tc>
      </w:tr>
      <w:tr>
        <w:tblPrEx>
          <w:tblCellMar>
            <w:top w:w="0" w:type="dxa"/>
            <w:left w:w="108" w:type="dxa"/>
            <w:bottom w:w="0" w:type="dxa"/>
            <w:right w:w="108" w:type="dxa"/>
          </w:tblCellMar>
        </w:tblPrEx>
        <w:trPr>
          <w:trHeight w:val="244" w:hRule="atLeast"/>
          <w:jc w:val="center"/>
        </w:trPr>
        <w:tc>
          <w:tcPr>
            <w:tcW w:w="5476" w:type="dxa"/>
            <w:gridSpan w:val="2"/>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738" w:type="dxa"/>
            <w:gridSpan w:val="2"/>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1542" w:type="dxa"/>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3771" w:type="dxa"/>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701" w:type="dxa"/>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2059" w:type="dxa"/>
            <w:tcBorders>
              <w:top w:val="nil"/>
              <w:left w:val="nil"/>
              <w:bottom w:val="nil"/>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rPr>
                <w:rFonts w:ascii="Times New Roman" w:hAnsi="Times New Roman" w:cs="Times New Roman"/>
                <w:color w:val="000000"/>
                <w:spacing w:val="-11"/>
                <w:kern w:val="0"/>
                <w:sz w:val="13"/>
                <w:szCs w:val="13"/>
              </w:rPr>
            </w:pPr>
            <w:r>
              <w:rPr>
                <w:rFonts w:ascii="Times New Roman" w:hAnsi="Times New Roman" w:cs="Times New Roman"/>
                <w:color w:val="000000"/>
                <w:kern w:val="0"/>
                <w:sz w:val="24"/>
              </w:rPr>
              <w:t>公开01表</w:t>
            </w:r>
          </w:p>
        </w:tc>
      </w:tr>
      <w:tr>
        <w:tblPrEx>
          <w:tblCellMar>
            <w:top w:w="0" w:type="dxa"/>
            <w:left w:w="108" w:type="dxa"/>
            <w:bottom w:w="0" w:type="dxa"/>
            <w:right w:w="108" w:type="dxa"/>
          </w:tblCellMar>
        </w:tblPrEx>
        <w:trPr>
          <w:trHeight w:val="299" w:hRule="exact"/>
          <w:jc w:val="center"/>
        </w:trPr>
        <w:tc>
          <w:tcPr>
            <w:tcW w:w="5476" w:type="dxa"/>
            <w:gridSpan w:val="2"/>
            <w:tcBorders>
              <w:top w:val="nil"/>
              <w:left w:val="nil"/>
              <w:bottom w:val="single" w:color="auto" w:sz="12"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hint="eastAsia" w:ascii="Times New Roman" w:hAnsi="Times New Roman" w:cs="Times New Roman" w:eastAsiaTheme="minorEastAsia"/>
                <w:color w:val="000000"/>
                <w:spacing w:val="-11"/>
                <w:kern w:val="0"/>
                <w:sz w:val="13"/>
                <w:szCs w:val="13"/>
                <w:lang w:eastAsia="zh-CN"/>
              </w:rPr>
            </w:pPr>
            <w:r>
              <w:rPr>
                <w:rFonts w:hint="eastAsia" w:ascii="宋体" w:hAnsi="宋体" w:cs="Arial"/>
                <w:color w:val="000000"/>
                <w:kern w:val="0"/>
                <w:sz w:val="24"/>
                <w:lang w:eastAsia="zh-CN"/>
              </w:rPr>
              <w:t>公开部门：中卫市红十字会</w:t>
            </w:r>
          </w:p>
        </w:tc>
        <w:tc>
          <w:tcPr>
            <w:tcW w:w="738" w:type="dxa"/>
            <w:gridSpan w:val="2"/>
            <w:tcBorders>
              <w:top w:val="nil"/>
              <w:left w:val="nil"/>
              <w:bottom w:val="single" w:color="auto" w:sz="12"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1542" w:type="dxa"/>
            <w:tcBorders>
              <w:top w:val="nil"/>
              <w:left w:val="nil"/>
              <w:bottom w:val="single" w:color="auto" w:sz="12"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3771" w:type="dxa"/>
            <w:tcBorders>
              <w:top w:val="nil"/>
              <w:left w:val="nil"/>
              <w:bottom w:val="single" w:color="auto" w:sz="12"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701" w:type="dxa"/>
            <w:tcBorders>
              <w:top w:val="nil"/>
              <w:left w:val="nil"/>
              <w:bottom w:val="single" w:color="auto" w:sz="12"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Times New Roman" w:hAnsi="Times New Roman" w:cs="Times New Roman"/>
                <w:color w:val="000000"/>
                <w:spacing w:val="-11"/>
                <w:kern w:val="0"/>
                <w:sz w:val="13"/>
                <w:szCs w:val="13"/>
              </w:rPr>
            </w:pPr>
          </w:p>
        </w:tc>
        <w:tc>
          <w:tcPr>
            <w:tcW w:w="2059" w:type="dxa"/>
            <w:tcBorders>
              <w:top w:val="nil"/>
              <w:left w:val="nil"/>
              <w:bottom w:val="single" w:color="auto" w:sz="12" w:space="0"/>
              <w:right w:val="nil"/>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rPr>
                <w:rFonts w:ascii="Times New Roman" w:hAnsi="Times New Roman" w:cs="Times New Roman"/>
                <w:color w:val="000000"/>
                <w:spacing w:val="-11"/>
                <w:kern w:val="0"/>
                <w:sz w:val="13"/>
                <w:szCs w:val="13"/>
              </w:rPr>
            </w:pPr>
            <w:r>
              <w:rPr>
                <w:rFonts w:hint="eastAsia" w:ascii="宋体" w:hAnsi="宋体" w:cs="Arial"/>
                <w:color w:val="000000"/>
                <w:kern w:val="0"/>
                <w:sz w:val="22"/>
                <w:szCs w:val="22"/>
              </w:rPr>
              <w:t>金额单位：元</w:t>
            </w:r>
          </w:p>
        </w:tc>
      </w:tr>
      <w:tr>
        <w:tblPrEx>
          <w:tblCellMar>
            <w:top w:w="0" w:type="dxa"/>
            <w:left w:w="108" w:type="dxa"/>
            <w:bottom w:w="0" w:type="dxa"/>
            <w:right w:w="108" w:type="dxa"/>
          </w:tblCellMar>
        </w:tblPrEx>
        <w:trPr>
          <w:trHeight w:val="249" w:hRule="exact"/>
          <w:jc w:val="center"/>
        </w:trPr>
        <w:tc>
          <w:tcPr>
            <w:tcW w:w="7756" w:type="dxa"/>
            <w:gridSpan w:val="5"/>
            <w:tcBorders>
              <w:top w:val="single" w:color="auto" w:sz="12"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收入</w:t>
            </w:r>
          </w:p>
        </w:tc>
        <w:tc>
          <w:tcPr>
            <w:tcW w:w="6531" w:type="dxa"/>
            <w:gridSpan w:val="3"/>
            <w:tcBorders>
              <w:top w:val="single" w:color="auto" w:sz="12" w:space="0"/>
              <w:left w:val="single" w:color="auto" w:sz="4" w:space="0"/>
              <w:bottom w:val="single" w:color="auto" w:sz="4" w:space="0"/>
              <w:right w:val="single" w:color="auto" w:sz="12"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支出</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项目</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行次</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决算数</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项目(按功能分类)</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行次</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决算数</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栏次</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　</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1</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栏次</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2</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一、</w:t>
            </w:r>
            <w:r>
              <w:rPr>
                <w:rFonts w:hint="default" w:ascii="Times New Roman" w:hAnsi="Times New Roman" w:cs="Times New Roman"/>
                <w:color w:val="000000"/>
                <w:kern w:val="0"/>
                <w:sz w:val="18"/>
                <w:szCs w:val="18"/>
                <w:lang w:eastAsia="zh-CN"/>
              </w:rPr>
              <w:t>一般公共预算</w:t>
            </w:r>
            <w:r>
              <w:rPr>
                <w:rFonts w:hint="default" w:ascii="Times New Roman" w:hAnsi="Times New Roman" w:cs="Times New Roman"/>
                <w:color w:val="000000"/>
                <w:kern w:val="0"/>
                <w:sz w:val="18"/>
                <w:szCs w:val="18"/>
              </w:rPr>
              <w:t>财政拨款收入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color w:val="000000"/>
                <w:kern w:val="0"/>
                <w:sz w:val="18"/>
                <w:szCs w:val="18"/>
                <w:lang w:eastAsia="zh-CN"/>
              </w:rPr>
              <w:t>1,697,556.81</w:t>
            </w: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一、一般公共服务支出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31</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eastAsia="zh-CN"/>
              </w:rPr>
              <w:t>二、</w:t>
            </w:r>
            <w:r>
              <w:rPr>
                <w:rFonts w:hint="default" w:ascii="Times New Roman" w:hAnsi="Times New Roman" w:cs="Times New Roman"/>
                <w:color w:val="000000"/>
                <w:kern w:val="0"/>
                <w:sz w:val="18"/>
                <w:szCs w:val="18"/>
              </w:rPr>
              <w:t>政府性基金预算财政拨款</w:t>
            </w:r>
            <w:r>
              <w:rPr>
                <w:rFonts w:hint="default" w:ascii="Times New Roman" w:hAnsi="Times New Roman" w:cs="Times New Roman"/>
                <w:color w:val="000000"/>
                <w:kern w:val="0"/>
                <w:sz w:val="18"/>
                <w:szCs w:val="18"/>
                <w:lang w:eastAsia="zh-CN"/>
              </w:rPr>
              <w:t>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2</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二、外交支出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32</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eastAsia="zh-CN"/>
              </w:rPr>
              <w:t>三</w:t>
            </w:r>
            <w:r>
              <w:rPr>
                <w:rFonts w:hint="default" w:ascii="Times New Roman" w:hAnsi="Times New Roman" w:cs="Times New Roman"/>
                <w:color w:val="000000"/>
                <w:kern w:val="0"/>
                <w:sz w:val="18"/>
                <w:szCs w:val="18"/>
              </w:rPr>
              <w:t>、</w:t>
            </w:r>
            <w:r>
              <w:rPr>
                <w:rFonts w:hint="default" w:ascii="Times New Roman" w:hAnsi="Times New Roman" w:cs="Times New Roman"/>
                <w:color w:val="000000"/>
                <w:kern w:val="0"/>
                <w:sz w:val="18"/>
                <w:szCs w:val="18"/>
                <w:lang w:eastAsia="zh-CN"/>
              </w:rPr>
              <w:t>国有资本经营</w:t>
            </w:r>
            <w:r>
              <w:rPr>
                <w:rFonts w:hint="default" w:ascii="Times New Roman" w:hAnsi="Times New Roman" w:cs="Times New Roman"/>
                <w:color w:val="000000"/>
                <w:kern w:val="0"/>
                <w:sz w:val="18"/>
                <w:szCs w:val="18"/>
                <w:lang w:val="en-US" w:eastAsia="zh-CN"/>
              </w:rPr>
              <w:t>预算财政拨款收入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3</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val="en-US" w:eastAsia="zh-CN"/>
              </w:rPr>
            </w:pP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三、国防支出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33</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四</w:t>
            </w:r>
            <w:r>
              <w:rPr>
                <w:rFonts w:hint="default" w:ascii="Times New Roman" w:hAnsi="Times New Roman" w:cs="Times New Roman"/>
                <w:color w:val="000000"/>
                <w:kern w:val="0"/>
                <w:sz w:val="18"/>
                <w:szCs w:val="18"/>
              </w:rPr>
              <w:t>、上级补助收入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4</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四、公共安全支出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34</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五</w:t>
            </w:r>
            <w:r>
              <w:rPr>
                <w:rFonts w:hint="default" w:ascii="Times New Roman" w:hAnsi="Times New Roman" w:cs="Times New Roman"/>
                <w:color w:val="000000"/>
                <w:kern w:val="0"/>
                <w:sz w:val="18"/>
                <w:szCs w:val="18"/>
              </w:rPr>
              <w:t>、事业收入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5</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五、教育支出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35</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六</w:t>
            </w:r>
            <w:r>
              <w:rPr>
                <w:rFonts w:hint="default" w:ascii="Times New Roman" w:hAnsi="Times New Roman" w:cs="Times New Roman"/>
                <w:color w:val="000000"/>
                <w:kern w:val="0"/>
                <w:sz w:val="18"/>
                <w:szCs w:val="18"/>
              </w:rPr>
              <w:t>、经营收入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6</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六、科学技术支出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36</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七</w:t>
            </w:r>
            <w:r>
              <w:rPr>
                <w:rFonts w:hint="default" w:ascii="Times New Roman" w:hAnsi="Times New Roman" w:cs="Times New Roman"/>
                <w:color w:val="000000"/>
                <w:kern w:val="0"/>
                <w:sz w:val="18"/>
                <w:szCs w:val="18"/>
              </w:rPr>
              <w:t>、附属单位上缴收入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7</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七、文化</w:t>
            </w:r>
            <w:r>
              <w:rPr>
                <w:rFonts w:hint="default" w:ascii="Times New Roman" w:hAnsi="Times New Roman" w:cs="Times New Roman"/>
                <w:color w:val="000000"/>
                <w:kern w:val="0"/>
                <w:sz w:val="18"/>
                <w:szCs w:val="18"/>
                <w:lang w:eastAsia="zh-CN"/>
              </w:rPr>
              <w:t>旅游</w:t>
            </w:r>
            <w:r>
              <w:rPr>
                <w:rFonts w:hint="default" w:ascii="Times New Roman" w:hAnsi="Times New Roman" w:cs="Times New Roman"/>
                <w:color w:val="000000"/>
                <w:kern w:val="0"/>
                <w:sz w:val="18"/>
                <w:szCs w:val="18"/>
              </w:rPr>
              <w:t>体育与传媒支出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37</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八</w:t>
            </w:r>
            <w:r>
              <w:rPr>
                <w:rFonts w:hint="default" w:ascii="Times New Roman" w:hAnsi="Times New Roman" w:cs="Times New Roman"/>
                <w:color w:val="000000"/>
                <w:kern w:val="0"/>
                <w:sz w:val="18"/>
                <w:szCs w:val="18"/>
              </w:rPr>
              <w:t>、其他收入</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8</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eastAsia" w:ascii="Times New Roman" w:hAnsi="Times New Roman" w:cs="Times New Roman"/>
                <w:color w:val="000000"/>
                <w:kern w:val="0"/>
                <w:sz w:val="18"/>
                <w:szCs w:val="18"/>
                <w:lang w:eastAsia="zh-CN"/>
              </w:rPr>
              <w:t>26,882.71</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八、社会保障和就业支出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38</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color w:val="000000"/>
                <w:kern w:val="0"/>
                <w:sz w:val="18"/>
                <w:szCs w:val="18"/>
                <w:lang w:eastAsia="zh-CN"/>
              </w:rPr>
              <w:t>1,552,114.77</w:t>
            </w: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9</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九、</w:t>
            </w:r>
            <w:r>
              <w:rPr>
                <w:rFonts w:hint="default" w:ascii="Times New Roman" w:hAnsi="Times New Roman" w:cs="Times New Roman"/>
                <w:color w:val="000000"/>
                <w:kern w:val="0"/>
                <w:sz w:val="18"/>
                <w:szCs w:val="18"/>
                <w:lang w:eastAsia="zh-CN"/>
              </w:rPr>
              <w:t>卫生健康</w:t>
            </w:r>
            <w:r>
              <w:rPr>
                <w:rFonts w:hint="default" w:ascii="Times New Roman" w:hAnsi="Times New Roman" w:cs="Times New Roman"/>
                <w:color w:val="000000"/>
                <w:kern w:val="0"/>
                <w:sz w:val="18"/>
                <w:szCs w:val="18"/>
              </w:rPr>
              <w:t>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39</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color w:val="000000"/>
                <w:kern w:val="0"/>
                <w:sz w:val="18"/>
                <w:szCs w:val="18"/>
                <w:lang w:eastAsia="zh-CN"/>
              </w:rPr>
              <w:t>50,244.14</w:t>
            </w: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10</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十、节能环保支出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40</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11</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十一、城乡社区支出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41</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12</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十二、农林水支出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42</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13</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十三、交通运输支出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43</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14</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十四、资源勘探</w:t>
            </w:r>
            <w:r>
              <w:rPr>
                <w:rFonts w:hint="default" w:ascii="Times New Roman" w:hAnsi="Times New Roman" w:cs="Times New Roman"/>
                <w:color w:val="000000"/>
                <w:kern w:val="0"/>
                <w:sz w:val="18"/>
                <w:szCs w:val="18"/>
                <w:lang w:val="en-US" w:eastAsia="zh-CN"/>
              </w:rPr>
              <w:t>工业</w:t>
            </w:r>
            <w:r>
              <w:rPr>
                <w:rFonts w:hint="default" w:ascii="Times New Roman" w:hAnsi="Times New Roman" w:cs="Times New Roman"/>
                <w:color w:val="000000"/>
                <w:kern w:val="0"/>
                <w:sz w:val="18"/>
                <w:szCs w:val="18"/>
              </w:rPr>
              <w:t>信息等支出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44</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15</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十五、商业服务业等支出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45</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16</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十六、金融支出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46</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17</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十七、援助其他地区支出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47</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18</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十八、</w:t>
            </w:r>
            <w:r>
              <w:rPr>
                <w:rFonts w:hint="default" w:ascii="Times New Roman" w:hAnsi="Times New Roman" w:cs="Times New Roman"/>
                <w:color w:val="000000"/>
                <w:kern w:val="0"/>
                <w:sz w:val="18"/>
                <w:szCs w:val="18"/>
                <w:lang w:eastAsia="zh-CN"/>
              </w:rPr>
              <w:t>自然资源</w:t>
            </w:r>
            <w:r>
              <w:rPr>
                <w:rFonts w:hint="default" w:ascii="Times New Roman" w:hAnsi="Times New Roman" w:cs="Times New Roman"/>
                <w:color w:val="000000"/>
                <w:kern w:val="0"/>
                <w:sz w:val="18"/>
                <w:szCs w:val="18"/>
              </w:rPr>
              <w:t>海洋气象等支出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48</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19</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十九、住房保障支出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49</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color w:val="000000"/>
                <w:kern w:val="0"/>
                <w:sz w:val="18"/>
                <w:szCs w:val="18"/>
                <w:lang w:eastAsia="zh-CN"/>
              </w:rPr>
              <w:t>123,437.00</w:t>
            </w: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pStyle w:val="5"/>
              <w:rPr>
                <w:rFonts w:hint="default" w:ascii="Times New Roman" w:hAnsi="Times New Roman" w:cs="Times New Roman"/>
                <w:color w:val="000000"/>
                <w:spacing w:val="-11"/>
                <w:kern w:val="0"/>
                <w:sz w:val="13"/>
                <w:szCs w:val="13"/>
              </w:rPr>
            </w:pPr>
            <w:r>
              <w:rPr>
                <w:rFonts w:hint="default" w:ascii="Times New Roman" w:hAnsi="Times New Roman" w:cs="Times New Roman"/>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20</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二十、粮油物资储备支出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50</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lang w:val="en-US" w:eastAsia="zh-CN"/>
              </w:rPr>
              <w:t>21</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二十一、国有资本经营预算支出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53</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color w:val="000000"/>
                <w:kern w:val="0"/>
                <w:sz w:val="18"/>
                <w:szCs w:val="18"/>
              </w:rPr>
            </w:pPr>
          </w:p>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2</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eastAsia="zh-CN"/>
              </w:rPr>
              <w:t>二十</w:t>
            </w:r>
            <w:r>
              <w:rPr>
                <w:rFonts w:hint="default" w:ascii="Times New Roman" w:hAnsi="Times New Roman" w:cs="Times New Roman"/>
                <w:color w:val="000000"/>
                <w:kern w:val="0"/>
                <w:sz w:val="18"/>
                <w:szCs w:val="18"/>
                <w:lang w:val="en-US" w:eastAsia="zh-CN"/>
              </w:rPr>
              <w:t>二</w:t>
            </w:r>
            <w:r>
              <w:rPr>
                <w:rFonts w:hint="default" w:ascii="Times New Roman" w:hAnsi="Times New Roman" w:cs="Times New Roman"/>
                <w:color w:val="000000"/>
                <w:kern w:val="0"/>
                <w:sz w:val="18"/>
                <w:szCs w:val="18"/>
                <w:lang w:eastAsia="zh-CN"/>
              </w:rPr>
              <w:t>、灾害防治及应急管理支出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54</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lang w:val="en-US" w:eastAsia="zh-CN"/>
              </w:rPr>
              <w:t>23</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二十</w:t>
            </w:r>
            <w:r>
              <w:rPr>
                <w:rFonts w:hint="default" w:ascii="Times New Roman" w:hAnsi="Times New Roman" w:cs="Times New Roman"/>
                <w:color w:val="000000"/>
                <w:kern w:val="0"/>
                <w:sz w:val="18"/>
                <w:szCs w:val="18"/>
                <w:lang w:val="en-US" w:eastAsia="zh-CN"/>
              </w:rPr>
              <w:t>三</w:t>
            </w:r>
            <w:r>
              <w:rPr>
                <w:rFonts w:hint="default" w:ascii="Times New Roman" w:hAnsi="Times New Roman" w:cs="Times New Roman"/>
                <w:color w:val="000000"/>
                <w:kern w:val="0"/>
                <w:sz w:val="18"/>
                <w:szCs w:val="18"/>
              </w:rPr>
              <w:t>、其他支出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lang w:val="en-US" w:eastAsia="zh-CN"/>
              </w:rPr>
              <w:t>55</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b/>
                <w:bCs/>
                <w:color w:val="000000"/>
                <w:spacing w:val="-11"/>
                <w:kern w:val="0"/>
                <w:sz w:val="13"/>
                <w:szCs w:val="13"/>
              </w:rPr>
            </w:pP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lang w:val="en-US" w:eastAsia="zh-CN"/>
              </w:rPr>
              <w:t>24</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b w:val="0"/>
                <w:bCs w:val="0"/>
                <w:color w:val="000000"/>
                <w:kern w:val="0"/>
                <w:sz w:val="18"/>
                <w:szCs w:val="18"/>
                <w:lang w:val="en-US" w:eastAsia="zh-CN"/>
              </w:rPr>
              <w:t>二十四、债务还本支出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lang w:val="en-US" w:eastAsia="zh-CN"/>
              </w:rPr>
              <w:t>56</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left"/>
              <w:rPr>
                <w:rFonts w:hint="default" w:ascii="Times New Roman" w:hAnsi="Times New Roman" w:cs="Times New Roman" w:eastAsiaTheme="minorEastAsia"/>
                <w:b/>
                <w:bCs/>
                <w:color w:val="000000"/>
                <w:spacing w:val="0"/>
                <w:kern w:val="0"/>
                <w:sz w:val="13"/>
                <w:szCs w:val="13"/>
              </w:rPr>
            </w:pP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b/>
                <w:bCs/>
                <w:color w:val="000000"/>
                <w:spacing w:val="-11"/>
                <w:kern w:val="0"/>
                <w:sz w:val="13"/>
                <w:szCs w:val="13"/>
              </w:rPr>
            </w:pP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lang w:val="en-US" w:eastAsia="zh-CN"/>
              </w:rPr>
              <w:t>25</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b w:val="0"/>
                <w:bCs w:val="0"/>
                <w:color w:val="000000"/>
                <w:kern w:val="0"/>
                <w:sz w:val="18"/>
                <w:szCs w:val="18"/>
                <w:lang w:val="en-US" w:eastAsia="zh-CN"/>
              </w:rPr>
              <w:t>二十五、债务付息支出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lang w:val="en-US" w:eastAsia="zh-CN"/>
              </w:rPr>
              <w:t>57</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left"/>
              <w:rPr>
                <w:rFonts w:hint="default" w:ascii="Times New Roman" w:hAnsi="Times New Roman" w:cs="Times New Roman" w:eastAsiaTheme="minorEastAsia"/>
                <w:b/>
                <w:bCs/>
                <w:color w:val="000000"/>
                <w:spacing w:val="0"/>
                <w:kern w:val="0"/>
                <w:sz w:val="13"/>
                <w:szCs w:val="13"/>
              </w:rPr>
            </w:pP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b/>
                <w:bCs/>
                <w:color w:val="000000"/>
                <w:spacing w:val="-11"/>
                <w:kern w:val="0"/>
                <w:sz w:val="13"/>
                <w:szCs w:val="13"/>
              </w:rPr>
            </w:pP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6</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color w:val="000000"/>
                <w:spacing w:val="-11"/>
                <w:kern w:val="0"/>
                <w:sz w:val="13"/>
                <w:szCs w:val="13"/>
              </w:rPr>
            </w:pP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b w:val="0"/>
                <w:bCs w:val="0"/>
                <w:color w:val="000000"/>
                <w:kern w:val="0"/>
                <w:sz w:val="18"/>
                <w:szCs w:val="18"/>
                <w:lang w:val="en-US" w:eastAsia="zh-CN"/>
              </w:rPr>
              <w:t>二十六、抗疫特别国债安排的支出</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spacing w:val="-11"/>
                <w:kern w:val="0"/>
                <w:sz w:val="13"/>
                <w:szCs w:val="13"/>
              </w:rPr>
            </w:pPr>
            <w:r>
              <w:rPr>
                <w:rFonts w:hint="default" w:ascii="Times New Roman" w:hAnsi="Times New Roman" w:cs="Times New Roman"/>
                <w:color w:val="000000"/>
                <w:kern w:val="0"/>
                <w:sz w:val="18"/>
                <w:szCs w:val="18"/>
                <w:lang w:val="en-US" w:eastAsia="zh-CN"/>
              </w:rPr>
              <w:t>58</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left"/>
              <w:rPr>
                <w:rFonts w:hint="default" w:ascii="Times New Roman" w:hAnsi="Times New Roman" w:cs="Times New Roman" w:eastAsiaTheme="minorEastAsia"/>
                <w:b/>
                <w:bCs/>
                <w:color w:val="000000"/>
                <w:spacing w:val="0"/>
                <w:kern w:val="0"/>
                <w:sz w:val="13"/>
                <w:szCs w:val="13"/>
              </w:rPr>
            </w:pP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b/>
                <w:bCs/>
                <w:color w:val="000000"/>
                <w:spacing w:val="-11"/>
                <w:kern w:val="0"/>
                <w:sz w:val="13"/>
                <w:szCs w:val="13"/>
              </w:rPr>
            </w:pPr>
            <w:r>
              <w:rPr>
                <w:rFonts w:hint="default" w:ascii="Times New Roman" w:hAnsi="Times New Roman" w:cs="Times New Roman"/>
                <w:b/>
                <w:bCs/>
                <w:color w:val="000000"/>
                <w:kern w:val="0"/>
                <w:sz w:val="18"/>
                <w:szCs w:val="18"/>
              </w:rPr>
              <w:t>本年收入合计</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lang w:eastAsia="zh-CN"/>
              </w:rPr>
              <w:t>2</w:t>
            </w:r>
            <w:r>
              <w:rPr>
                <w:rFonts w:hint="default" w:ascii="Times New Roman" w:hAnsi="Times New Roman" w:cs="Times New Roman"/>
                <w:color w:val="000000"/>
                <w:kern w:val="0"/>
                <w:sz w:val="18"/>
                <w:szCs w:val="18"/>
                <w:lang w:val="en-US" w:eastAsia="zh-CN"/>
              </w:rPr>
              <w:t>7</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b/>
                <w:bCs/>
                <w:color w:val="000000"/>
                <w:kern w:val="0"/>
                <w:sz w:val="18"/>
                <w:szCs w:val="18"/>
                <w:lang w:eastAsia="zh-CN"/>
              </w:rPr>
              <w:t>1,724,439.52</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b/>
                <w:bCs/>
                <w:color w:val="000000"/>
                <w:spacing w:val="0"/>
                <w:kern w:val="0"/>
                <w:sz w:val="13"/>
                <w:szCs w:val="13"/>
              </w:rPr>
            </w:pPr>
            <w:r>
              <w:rPr>
                <w:rFonts w:hint="default" w:ascii="Times New Roman" w:hAnsi="Times New Roman" w:cs="Times New Roman"/>
                <w:b/>
                <w:bCs/>
                <w:color w:val="000000"/>
                <w:kern w:val="0"/>
                <w:sz w:val="18"/>
                <w:szCs w:val="18"/>
              </w:rPr>
              <w:t>本年支出合计</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000000"/>
                <w:kern w:val="0"/>
                <w:sz w:val="18"/>
                <w:szCs w:val="18"/>
                <w:lang w:val="en-US" w:eastAsia="zh-CN"/>
              </w:rPr>
            </w:pPr>
            <w:r>
              <w:rPr>
                <w:rFonts w:hint="default" w:ascii="Times New Roman" w:hAnsi="Times New Roman" w:cs="Times New Roman"/>
                <w:color w:val="000000"/>
                <w:kern w:val="0"/>
                <w:sz w:val="18"/>
                <w:szCs w:val="18"/>
                <w:lang w:val="en-US" w:eastAsia="zh-CN"/>
              </w:rPr>
              <w:t>59</w:t>
            </w:r>
          </w:p>
          <w:p>
            <w:pPr>
              <w:widowControl/>
              <w:jc w:val="center"/>
              <w:rPr>
                <w:rFonts w:hint="default" w:ascii="Times New Roman" w:hAnsi="Times New Roman" w:cs="Times New Roman" w:eastAsiaTheme="minorEastAsia"/>
                <w:color w:val="000000"/>
                <w:spacing w:val="0"/>
                <w:kern w:val="0"/>
                <w:sz w:val="13"/>
                <w:szCs w:val="13"/>
              </w:rPr>
            </w:pP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eastAsia" w:ascii="Times New Roman" w:hAnsi="Times New Roman" w:cs="Times New Roman" w:eastAsiaTheme="minorEastAsia"/>
                <w:b/>
                <w:bCs/>
                <w:color w:val="000000"/>
                <w:spacing w:val="0"/>
                <w:kern w:val="0"/>
                <w:sz w:val="13"/>
                <w:szCs w:val="13"/>
                <w:lang w:eastAsia="zh-CN"/>
              </w:rPr>
            </w:pPr>
            <w:r>
              <w:rPr>
                <w:rFonts w:hint="eastAsia" w:ascii="Times New Roman" w:hAnsi="Times New Roman" w:cs="Times New Roman"/>
                <w:b/>
                <w:bCs/>
                <w:color w:val="000000"/>
                <w:kern w:val="0"/>
                <w:sz w:val="18"/>
                <w:szCs w:val="18"/>
                <w:lang w:eastAsia="zh-CN"/>
              </w:rPr>
              <w:t>1,725,795.91</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xml:space="preserve">    </w:t>
            </w:r>
            <w:r>
              <w:rPr>
                <w:rFonts w:hint="default" w:ascii="Times New Roman" w:hAnsi="Times New Roman" w:cs="Times New Roman"/>
                <w:color w:val="000000"/>
                <w:kern w:val="0"/>
                <w:sz w:val="18"/>
                <w:szCs w:val="18"/>
                <w:lang w:val="en-US" w:eastAsia="zh-CN"/>
              </w:rPr>
              <w:t>使用非财政拨款结余</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lang w:val="en-US" w:eastAsia="zh-CN"/>
              </w:rPr>
              <w:t>28</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xml:space="preserve">    结余分配</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60</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xml:space="preserve">    年初结转和结余</w:t>
            </w:r>
          </w:p>
        </w:tc>
        <w:tc>
          <w:tcPr>
            <w:tcW w:w="650" w:type="dxa"/>
            <w:gridSpan w:val="2"/>
            <w:tcBorders>
              <w:top w:val="single" w:color="auto" w:sz="4" w:space="0"/>
              <w:left w:val="single" w:color="auto" w:sz="12"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29</w:t>
            </w:r>
          </w:p>
        </w:tc>
        <w:tc>
          <w:tcPr>
            <w:tcW w:w="21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val="en-US" w:eastAsia="zh-CN"/>
              </w:rPr>
            </w:pPr>
            <w:r>
              <w:rPr>
                <w:rFonts w:hint="eastAsia" w:ascii="Times New Roman" w:hAnsi="Times New Roman" w:cs="Times New Roman"/>
                <w:color w:val="000000"/>
                <w:kern w:val="0"/>
                <w:sz w:val="18"/>
                <w:szCs w:val="18"/>
                <w:lang w:eastAsia="zh-CN"/>
              </w:rPr>
              <w:t>6,822.19</w:t>
            </w: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rPr>
              <w:t xml:space="preserve">    年末结转和结余</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61</w:t>
            </w:r>
          </w:p>
        </w:tc>
        <w:tc>
          <w:tcPr>
            <w:tcW w:w="2059" w:type="dxa"/>
            <w:tcBorders>
              <w:top w:val="single" w:color="auto" w:sz="4" w:space="0"/>
              <w:left w:val="single" w:color="auto" w:sz="4" w:space="0"/>
              <w:bottom w:val="single" w:color="auto" w:sz="4" w:space="0"/>
              <w:right w:val="single" w:color="auto" w:sz="12"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color w:val="000000"/>
                <w:kern w:val="0"/>
                <w:sz w:val="18"/>
                <w:szCs w:val="18"/>
                <w:lang w:val="en-US" w:eastAsia="zh-CN"/>
              </w:rPr>
              <w:t>5,465.80</w:t>
            </w:r>
          </w:p>
        </w:tc>
      </w:tr>
      <w:tr>
        <w:tblPrEx>
          <w:tblCellMar>
            <w:top w:w="0" w:type="dxa"/>
            <w:left w:w="108" w:type="dxa"/>
            <w:bottom w:w="0" w:type="dxa"/>
            <w:right w:w="108" w:type="dxa"/>
          </w:tblCellMar>
        </w:tblPrEx>
        <w:trPr>
          <w:trHeight w:val="249" w:hRule="exact"/>
          <w:jc w:val="center"/>
        </w:trPr>
        <w:tc>
          <w:tcPr>
            <w:tcW w:w="4929" w:type="dxa"/>
            <w:tcBorders>
              <w:top w:val="single" w:color="auto" w:sz="4" w:space="0"/>
              <w:left w:val="single" w:color="auto" w:sz="12" w:space="0"/>
              <w:bottom w:val="single" w:color="auto" w:sz="12" w:space="0"/>
              <w:right w:val="single" w:color="auto" w:sz="4" w:space="0"/>
            </w:tcBorders>
            <w:shd w:val="clear" w:color="auto" w:fill="auto"/>
            <w:vAlign w:val="center"/>
          </w:tcPr>
          <w:p>
            <w:pPr>
              <w:widowControl/>
              <w:jc w:val="center"/>
              <w:rPr>
                <w:rFonts w:hint="default" w:ascii="Times New Roman" w:hAnsi="Times New Roman" w:cs="Times New Roman"/>
                <w:b/>
                <w:bCs/>
                <w:color w:val="000000"/>
                <w:spacing w:val="-11"/>
                <w:kern w:val="0"/>
                <w:sz w:val="13"/>
                <w:szCs w:val="13"/>
              </w:rPr>
            </w:pPr>
            <w:r>
              <w:rPr>
                <w:rFonts w:hint="default" w:ascii="Times New Roman" w:hAnsi="Times New Roman" w:cs="Times New Roman"/>
                <w:b/>
                <w:bCs/>
                <w:color w:val="000000"/>
                <w:kern w:val="0"/>
                <w:sz w:val="18"/>
                <w:szCs w:val="18"/>
              </w:rPr>
              <w:t>总计</w:t>
            </w:r>
          </w:p>
        </w:tc>
        <w:tc>
          <w:tcPr>
            <w:tcW w:w="650" w:type="dxa"/>
            <w:gridSpan w:val="2"/>
            <w:tcBorders>
              <w:top w:val="single" w:color="auto" w:sz="4" w:space="0"/>
              <w:left w:val="single" w:color="auto" w:sz="12" w:space="0"/>
              <w:bottom w:val="single" w:color="auto" w:sz="12" w:space="0"/>
              <w:right w:val="single" w:color="auto" w:sz="4" w:space="0"/>
            </w:tcBorders>
            <w:shd w:val="clear" w:color="auto" w:fill="auto"/>
            <w:vAlign w:val="center"/>
          </w:tcPr>
          <w:p>
            <w:pPr>
              <w:widowControl/>
              <w:jc w:val="center"/>
              <w:rPr>
                <w:rFonts w:hint="default" w:ascii="Times New Roman" w:hAnsi="Times New Roman" w:cs="Times New Roman"/>
              </w:rPr>
            </w:pPr>
            <w:r>
              <w:rPr>
                <w:rFonts w:hint="default" w:ascii="Times New Roman" w:hAnsi="Times New Roman" w:cs="Times New Roman"/>
                <w:color w:val="000000"/>
                <w:kern w:val="0"/>
                <w:sz w:val="18"/>
                <w:szCs w:val="18"/>
              </w:rPr>
              <w:t>30</w:t>
            </w:r>
          </w:p>
        </w:tc>
        <w:tc>
          <w:tcPr>
            <w:tcW w:w="2177"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right"/>
              <w:rPr>
                <w:rFonts w:hint="default" w:ascii="Times New Roman" w:hAnsi="Times New Roman" w:cs="Times New Roman" w:eastAsiaTheme="minorEastAsia"/>
                <w:color w:val="000000"/>
                <w:spacing w:val="0"/>
                <w:kern w:val="0"/>
                <w:sz w:val="13"/>
                <w:szCs w:val="13"/>
                <w:lang w:eastAsia="zh-CN"/>
              </w:rPr>
            </w:pPr>
            <w:r>
              <w:rPr>
                <w:rFonts w:hint="eastAsia" w:ascii="Times New Roman" w:hAnsi="Times New Roman" w:cs="Times New Roman"/>
                <w:b/>
                <w:bCs/>
                <w:color w:val="000000"/>
                <w:kern w:val="0"/>
                <w:sz w:val="18"/>
                <w:szCs w:val="18"/>
                <w:lang w:eastAsia="zh-CN"/>
              </w:rPr>
              <w:t xml:space="preserve">1,731,261.71 </w:t>
            </w:r>
            <w:r>
              <w:rPr>
                <w:rFonts w:hint="default" w:ascii="Times New Roman" w:hAnsi="Times New Roman" w:cs="Times New Roman"/>
                <w:color w:val="000000"/>
                <w:kern w:val="0"/>
                <w:sz w:val="18"/>
                <w:szCs w:val="18"/>
              </w:rPr>
              <w:t>　</w:t>
            </w:r>
          </w:p>
        </w:tc>
        <w:tc>
          <w:tcPr>
            <w:tcW w:w="3771"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spacing w:val="0"/>
                <w:kern w:val="0"/>
                <w:sz w:val="13"/>
                <w:szCs w:val="13"/>
              </w:rPr>
            </w:pPr>
            <w:r>
              <w:rPr>
                <w:rFonts w:hint="default" w:ascii="Times New Roman" w:hAnsi="Times New Roman" w:cs="Times New Roman"/>
                <w:b/>
                <w:bCs/>
                <w:color w:val="000000"/>
                <w:kern w:val="0"/>
                <w:sz w:val="18"/>
                <w:szCs w:val="18"/>
              </w:rPr>
              <w:t>总计</w:t>
            </w:r>
          </w:p>
        </w:tc>
        <w:tc>
          <w:tcPr>
            <w:tcW w:w="701"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000000"/>
                <w:spacing w:val="0"/>
                <w:kern w:val="0"/>
                <w:sz w:val="13"/>
                <w:szCs w:val="13"/>
              </w:rPr>
            </w:pPr>
            <w:r>
              <w:rPr>
                <w:rFonts w:hint="default" w:ascii="Times New Roman" w:hAnsi="Times New Roman" w:cs="Times New Roman"/>
                <w:color w:val="000000"/>
                <w:kern w:val="0"/>
                <w:sz w:val="18"/>
                <w:szCs w:val="18"/>
                <w:lang w:val="en-US" w:eastAsia="zh-CN"/>
              </w:rPr>
              <w:t>62</w:t>
            </w:r>
          </w:p>
        </w:tc>
        <w:tc>
          <w:tcPr>
            <w:tcW w:w="2059" w:type="dxa"/>
            <w:tcBorders>
              <w:top w:val="single" w:color="auto" w:sz="4" w:space="0"/>
              <w:left w:val="single" w:color="auto" w:sz="4" w:space="0"/>
              <w:bottom w:val="single" w:color="auto" w:sz="12" w:space="0"/>
              <w:right w:val="single" w:color="auto" w:sz="12" w:space="0"/>
            </w:tcBorders>
            <w:shd w:val="clear" w:color="auto" w:fill="auto"/>
            <w:vAlign w:val="center"/>
          </w:tcPr>
          <w:p>
            <w:pPr>
              <w:widowControl/>
              <w:jc w:val="right"/>
              <w:rPr>
                <w:rFonts w:hint="eastAsia" w:ascii="Times New Roman" w:hAnsi="Times New Roman" w:cs="Times New Roman" w:eastAsiaTheme="minorEastAsia"/>
                <w:b/>
                <w:bCs/>
                <w:color w:val="000000"/>
                <w:spacing w:val="0"/>
                <w:kern w:val="0"/>
                <w:sz w:val="13"/>
                <w:szCs w:val="13"/>
                <w:lang w:eastAsia="zh-CN"/>
              </w:rPr>
            </w:pPr>
            <w:r>
              <w:rPr>
                <w:rFonts w:hint="default" w:ascii="Times New Roman" w:hAnsi="Times New Roman" w:cs="Times New Roman"/>
                <w:b/>
                <w:bCs/>
                <w:color w:val="000000"/>
                <w:kern w:val="0"/>
                <w:sz w:val="18"/>
                <w:szCs w:val="18"/>
              </w:rPr>
              <w:t>　</w:t>
            </w:r>
            <w:r>
              <w:rPr>
                <w:rFonts w:hint="eastAsia" w:ascii="Times New Roman" w:hAnsi="Times New Roman" w:cs="Times New Roman"/>
                <w:b/>
                <w:bCs/>
                <w:color w:val="000000"/>
                <w:kern w:val="0"/>
                <w:sz w:val="18"/>
                <w:szCs w:val="18"/>
                <w:lang w:eastAsia="zh-CN"/>
              </w:rPr>
              <w:t xml:space="preserve">1,731,261.71 </w:t>
            </w:r>
          </w:p>
        </w:tc>
      </w:tr>
    </w:tbl>
    <w:p>
      <w:pPr>
        <w:spacing w:line="240" w:lineRule="atLeast"/>
        <w:ind w:left="357" w:leftChars="170" w:firstLine="180" w:firstLineChars="100"/>
        <w:jc w:val="left"/>
        <w:rPr>
          <w:rFonts w:hint="eastAsia" w:ascii="Times New Roman" w:hAnsi="Times New Roman" w:cs="Times New Roman" w:eastAsiaTheme="minorEastAsia"/>
          <w:lang w:eastAsia="zh-CN"/>
        </w:rPr>
      </w:pPr>
      <w:r>
        <w:rPr>
          <w:rFonts w:ascii="Times New Roman" w:hAnsi="Times New Roman" w:cs="Times New Roman"/>
          <w:color w:val="000000"/>
          <w:kern w:val="0"/>
          <w:sz w:val="18"/>
          <w:szCs w:val="18"/>
        </w:rPr>
        <w:t>注：本表反映部门本年度的总收支和年末结余结转情况，数据取自财决01表</w:t>
      </w:r>
      <w:r>
        <w:rPr>
          <w:rFonts w:hint="eastAsia" w:ascii="Times New Roman" w:hAnsi="Times New Roman" w:cs="Times New Roman"/>
          <w:color w:val="000000"/>
          <w:kern w:val="0"/>
          <w:sz w:val="18"/>
          <w:szCs w:val="18"/>
          <w:lang w:eastAsia="zh-CN"/>
        </w:rPr>
        <w:t>。</w:t>
      </w:r>
    </w:p>
    <w:tbl>
      <w:tblPr>
        <w:tblStyle w:val="10"/>
        <w:tblpPr w:leftFromText="180" w:rightFromText="180" w:vertAnchor="text" w:horzAnchor="page" w:tblpX="1358" w:tblpY="621"/>
        <w:tblOverlap w:val="never"/>
        <w:tblW w:w="14955" w:type="dxa"/>
        <w:tblInd w:w="0" w:type="dxa"/>
        <w:tblLayout w:type="fixed"/>
        <w:tblCellMar>
          <w:top w:w="0" w:type="dxa"/>
          <w:left w:w="108" w:type="dxa"/>
          <w:bottom w:w="0" w:type="dxa"/>
          <w:right w:w="108" w:type="dxa"/>
        </w:tblCellMar>
      </w:tblPr>
      <w:tblGrid>
        <w:gridCol w:w="447"/>
        <w:gridCol w:w="172"/>
        <w:gridCol w:w="276"/>
        <w:gridCol w:w="241"/>
        <w:gridCol w:w="206"/>
        <w:gridCol w:w="330"/>
        <w:gridCol w:w="3893"/>
        <w:gridCol w:w="1517"/>
        <w:gridCol w:w="1383"/>
        <w:gridCol w:w="940"/>
        <w:gridCol w:w="996"/>
        <w:gridCol w:w="1407"/>
        <w:gridCol w:w="978"/>
        <w:gridCol w:w="859"/>
        <w:gridCol w:w="80"/>
        <w:gridCol w:w="1015"/>
        <w:gridCol w:w="166"/>
        <w:gridCol w:w="49"/>
      </w:tblGrid>
      <w:tr>
        <w:tblPrEx>
          <w:tblCellMar>
            <w:top w:w="0" w:type="dxa"/>
            <w:left w:w="108" w:type="dxa"/>
            <w:bottom w:w="0" w:type="dxa"/>
            <w:right w:w="108" w:type="dxa"/>
          </w:tblCellMar>
        </w:tblPrEx>
        <w:trPr>
          <w:gridAfter w:val="1"/>
          <w:wAfter w:w="49" w:type="dxa"/>
          <w:trHeight w:val="885" w:hRule="atLeast"/>
        </w:trPr>
        <w:tc>
          <w:tcPr>
            <w:tcW w:w="14906" w:type="dxa"/>
            <w:gridSpan w:val="17"/>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44"/>
                <w:szCs w:val="44"/>
              </w:rPr>
            </w:pPr>
            <w:r>
              <w:rPr>
                <w:rFonts w:ascii="Times New Roman" w:hAnsi="Times New Roman" w:cs="Times New Roman"/>
                <w:b/>
                <w:bCs/>
                <w:color w:val="000000"/>
                <w:kern w:val="0"/>
                <w:sz w:val="44"/>
                <w:szCs w:val="44"/>
              </w:rPr>
              <w:t>收入决算表</w:t>
            </w:r>
          </w:p>
        </w:tc>
      </w:tr>
      <w:tr>
        <w:tblPrEx>
          <w:tblCellMar>
            <w:top w:w="0" w:type="dxa"/>
            <w:left w:w="108" w:type="dxa"/>
            <w:bottom w:w="0" w:type="dxa"/>
            <w:right w:w="108" w:type="dxa"/>
          </w:tblCellMar>
        </w:tblPrEx>
        <w:trPr>
          <w:trHeight w:val="397" w:hRule="exact"/>
        </w:trPr>
        <w:tc>
          <w:tcPr>
            <w:tcW w:w="447"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48"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47"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223"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517"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383"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940"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403"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978"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859"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310" w:type="dxa"/>
            <w:gridSpan w:val="4"/>
            <w:tcBorders>
              <w:top w:val="nil"/>
              <w:left w:val="nil"/>
              <w:bottom w:val="nil"/>
              <w:right w:val="nil"/>
            </w:tcBorders>
            <w:shd w:val="clear" w:color="auto" w:fill="auto"/>
            <w:vAlign w:val="bottom"/>
          </w:tcPr>
          <w:p>
            <w:pPr>
              <w:widowControl/>
              <w:jc w:val="both"/>
              <w:rPr>
                <w:rFonts w:ascii="Times New Roman" w:hAnsi="Times New Roman" w:cs="Times New Roman"/>
                <w:color w:val="000000"/>
                <w:kern w:val="0"/>
                <w:sz w:val="24"/>
              </w:rPr>
            </w:pPr>
            <w:r>
              <w:rPr>
                <w:rFonts w:ascii="Times New Roman" w:hAnsi="Times New Roman" w:cs="Times New Roman"/>
                <w:color w:val="000000"/>
                <w:kern w:val="0"/>
                <w:sz w:val="24"/>
              </w:rPr>
              <w:t>公开02表</w:t>
            </w:r>
          </w:p>
        </w:tc>
      </w:tr>
      <w:tr>
        <w:tblPrEx>
          <w:tblCellMar>
            <w:top w:w="0" w:type="dxa"/>
            <w:left w:w="108" w:type="dxa"/>
            <w:bottom w:w="0" w:type="dxa"/>
            <w:right w:w="108" w:type="dxa"/>
          </w:tblCellMar>
        </w:tblPrEx>
        <w:trPr>
          <w:trHeight w:val="397" w:hRule="exact"/>
        </w:trPr>
        <w:tc>
          <w:tcPr>
            <w:tcW w:w="5565" w:type="dxa"/>
            <w:gridSpan w:val="7"/>
            <w:tcBorders>
              <w:top w:val="nil"/>
              <w:left w:val="nil"/>
              <w:bottom w:val="nil"/>
              <w:right w:val="nil"/>
            </w:tcBorders>
            <w:shd w:val="clear" w:color="auto" w:fill="auto"/>
            <w:vAlign w:val="bottom"/>
          </w:tcPr>
          <w:p>
            <w:pPr>
              <w:widowControl/>
              <w:jc w:val="left"/>
              <w:rPr>
                <w:rFonts w:hint="eastAsia" w:ascii="Times New Roman" w:hAnsi="Times New Roman" w:cs="Times New Roman" w:eastAsiaTheme="minorEastAsia"/>
                <w:color w:val="000000"/>
                <w:kern w:val="0"/>
                <w:sz w:val="24"/>
                <w:lang w:eastAsia="zh-CN"/>
              </w:rPr>
            </w:pPr>
            <w:r>
              <w:rPr>
                <w:rFonts w:ascii="Times New Roman" w:hAnsi="Times New Roman" w:cs="Times New Roman"/>
                <w:color w:val="000000"/>
                <w:kern w:val="0"/>
                <w:sz w:val="24"/>
              </w:rPr>
              <w:t>公开部门：</w:t>
            </w:r>
            <w:r>
              <w:rPr>
                <w:rFonts w:hint="eastAsia" w:ascii="Times New Roman" w:hAnsi="Times New Roman" w:cs="Times New Roman"/>
                <w:color w:val="000000"/>
                <w:kern w:val="0"/>
                <w:sz w:val="24"/>
                <w:lang w:eastAsia="zh-CN"/>
              </w:rPr>
              <w:t>中卫市红十字会</w:t>
            </w:r>
          </w:p>
        </w:tc>
        <w:tc>
          <w:tcPr>
            <w:tcW w:w="1517"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383"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940"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24"/>
              </w:rPr>
            </w:pPr>
          </w:p>
        </w:tc>
        <w:tc>
          <w:tcPr>
            <w:tcW w:w="2403"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978"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169" w:type="dxa"/>
            <w:gridSpan w:val="5"/>
            <w:tcBorders>
              <w:top w:val="nil"/>
              <w:left w:val="nil"/>
              <w:bottom w:val="nil"/>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金额单位：元</w:t>
            </w:r>
          </w:p>
        </w:tc>
      </w:tr>
      <w:tr>
        <w:tblPrEx>
          <w:tblCellMar>
            <w:top w:w="0" w:type="dxa"/>
            <w:left w:w="108" w:type="dxa"/>
            <w:bottom w:w="0" w:type="dxa"/>
            <w:right w:w="108" w:type="dxa"/>
          </w:tblCellMar>
        </w:tblPrEx>
        <w:trPr>
          <w:trHeight w:val="340" w:hRule="exact"/>
        </w:trPr>
        <w:tc>
          <w:tcPr>
            <w:tcW w:w="5565" w:type="dxa"/>
            <w:gridSpan w:val="7"/>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项目</w:t>
            </w:r>
          </w:p>
        </w:tc>
        <w:tc>
          <w:tcPr>
            <w:tcW w:w="1517" w:type="dxa"/>
            <w:vMerge w:val="restart"/>
            <w:tcBorders>
              <w:top w:val="single" w:color="000000" w:sz="8" w:space="0"/>
              <w:left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本年收入合计</w:t>
            </w:r>
          </w:p>
        </w:tc>
        <w:tc>
          <w:tcPr>
            <w:tcW w:w="1383" w:type="dxa"/>
            <w:vMerge w:val="restart"/>
            <w:tcBorders>
              <w:top w:val="single" w:color="000000" w:sz="8" w:space="0"/>
              <w:left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财政拨款收入</w:t>
            </w:r>
          </w:p>
        </w:tc>
        <w:tc>
          <w:tcPr>
            <w:tcW w:w="940" w:type="dxa"/>
            <w:vMerge w:val="restart"/>
            <w:tcBorders>
              <w:top w:val="single" w:color="000000" w:sz="8" w:space="0"/>
              <w:left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上级补助收入</w:t>
            </w:r>
          </w:p>
        </w:tc>
        <w:tc>
          <w:tcPr>
            <w:tcW w:w="2403" w:type="dxa"/>
            <w:gridSpan w:val="2"/>
            <w:vMerge w:val="restart"/>
            <w:tcBorders>
              <w:top w:val="single" w:color="000000" w:sz="8" w:space="0"/>
              <w:left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事业收入</w:t>
            </w:r>
          </w:p>
        </w:tc>
        <w:tc>
          <w:tcPr>
            <w:tcW w:w="978" w:type="dxa"/>
            <w:vMerge w:val="restart"/>
            <w:tcBorders>
              <w:top w:val="single" w:color="000000" w:sz="8" w:space="0"/>
              <w:left w:val="nil"/>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经营收入</w:t>
            </w:r>
          </w:p>
        </w:tc>
        <w:tc>
          <w:tcPr>
            <w:tcW w:w="939" w:type="dxa"/>
            <w:gridSpan w:val="2"/>
            <w:vMerge w:val="restart"/>
            <w:tcBorders>
              <w:top w:val="single" w:color="000000" w:sz="8" w:space="0"/>
              <w:left w:val="nil"/>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附属单位上缴收入</w:t>
            </w:r>
          </w:p>
        </w:tc>
        <w:tc>
          <w:tcPr>
            <w:tcW w:w="1230" w:type="dxa"/>
            <w:gridSpan w:val="3"/>
            <w:vMerge w:val="restart"/>
            <w:tcBorders>
              <w:top w:val="single" w:color="000000" w:sz="8" w:space="0"/>
              <w:left w:val="nil"/>
              <w:right w:val="single" w:color="000000" w:sz="8"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其他收入</w:t>
            </w:r>
          </w:p>
        </w:tc>
      </w:tr>
      <w:tr>
        <w:tblPrEx>
          <w:tblCellMar>
            <w:top w:w="0" w:type="dxa"/>
            <w:left w:w="108" w:type="dxa"/>
            <w:bottom w:w="0" w:type="dxa"/>
            <w:right w:w="108" w:type="dxa"/>
          </w:tblCellMar>
        </w:tblPrEx>
        <w:trPr>
          <w:trHeight w:val="340" w:hRule="exact"/>
        </w:trPr>
        <w:tc>
          <w:tcPr>
            <w:tcW w:w="1672"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功能分类科目编码</w:t>
            </w:r>
          </w:p>
        </w:tc>
        <w:tc>
          <w:tcPr>
            <w:tcW w:w="3893" w:type="dxa"/>
            <w:vMerge w:val="restart"/>
            <w:tcBorders>
              <w:top w:val="nil"/>
              <w:left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科目名称</w:t>
            </w:r>
          </w:p>
        </w:tc>
        <w:tc>
          <w:tcPr>
            <w:tcW w:w="1517" w:type="dxa"/>
            <w:vMerge w:val="continue"/>
            <w:tcBorders>
              <w:left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p>
        </w:tc>
        <w:tc>
          <w:tcPr>
            <w:tcW w:w="1383" w:type="dxa"/>
            <w:vMerge w:val="continue"/>
            <w:tcBorders>
              <w:left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p>
        </w:tc>
        <w:tc>
          <w:tcPr>
            <w:tcW w:w="940" w:type="dxa"/>
            <w:vMerge w:val="continue"/>
            <w:tcBorders>
              <w:left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p>
        </w:tc>
        <w:tc>
          <w:tcPr>
            <w:tcW w:w="2403" w:type="dxa"/>
            <w:gridSpan w:val="2"/>
            <w:vMerge w:val="continue"/>
            <w:tcBorders>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jc w:val="center"/>
              <w:textAlignment w:val="auto"/>
              <w:outlineLvl w:val="9"/>
              <w:rPr>
                <w:rFonts w:ascii="Times New Roman" w:hAnsi="Times New Roman" w:cs="Times New Roman" w:eastAsiaTheme="majorEastAsia"/>
                <w:color w:val="000000"/>
                <w:kern w:val="0"/>
                <w:sz w:val="18"/>
                <w:szCs w:val="18"/>
              </w:rPr>
            </w:pPr>
          </w:p>
        </w:tc>
        <w:tc>
          <w:tcPr>
            <w:tcW w:w="978" w:type="dxa"/>
            <w:vMerge w:val="continue"/>
            <w:tcBorders>
              <w:left w:val="nil"/>
              <w:right w:val="single" w:color="000000" w:sz="4" w:space="0"/>
            </w:tcBorders>
            <w:vAlign w:val="center"/>
          </w:tcPr>
          <w:p>
            <w:pPr>
              <w:widowControl/>
              <w:jc w:val="center"/>
              <w:rPr>
                <w:rFonts w:ascii="Times New Roman" w:hAnsi="Times New Roman" w:cs="Times New Roman" w:eastAsiaTheme="majorEastAsia"/>
                <w:color w:val="000000"/>
                <w:kern w:val="0"/>
                <w:sz w:val="18"/>
                <w:szCs w:val="18"/>
              </w:rPr>
            </w:pPr>
          </w:p>
        </w:tc>
        <w:tc>
          <w:tcPr>
            <w:tcW w:w="939" w:type="dxa"/>
            <w:gridSpan w:val="2"/>
            <w:vMerge w:val="continue"/>
            <w:tcBorders>
              <w:left w:val="nil"/>
              <w:right w:val="single" w:color="000000" w:sz="4" w:space="0"/>
            </w:tcBorders>
            <w:vAlign w:val="center"/>
          </w:tcPr>
          <w:p>
            <w:pPr>
              <w:widowControl/>
              <w:jc w:val="center"/>
              <w:rPr>
                <w:rFonts w:ascii="Times New Roman" w:hAnsi="Times New Roman" w:cs="Times New Roman" w:eastAsiaTheme="majorEastAsia"/>
                <w:color w:val="000000"/>
                <w:kern w:val="0"/>
                <w:sz w:val="18"/>
                <w:szCs w:val="18"/>
              </w:rPr>
            </w:pPr>
          </w:p>
        </w:tc>
        <w:tc>
          <w:tcPr>
            <w:tcW w:w="1230" w:type="dxa"/>
            <w:gridSpan w:val="3"/>
            <w:vMerge w:val="continue"/>
            <w:tcBorders>
              <w:left w:val="nil"/>
              <w:right w:val="single" w:color="000000" w:sz="8" w:space="0"/>
            </w:tcBorders>
            <w:vAlign w:val="center"/>
          </w:tcPr>
          <w:p>
            <w:pPr>
              <w:widowControl/>
              <w:jc w:val="center"/>
              <w:rPr>
                <w:rFonts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40" w:hRule="exact"/>
        </w:trPr>
        <w:tc>
          <w:tcPr>
            <w:tcW w:w="619" w:type="dxa"/>
            <w:gridSpan w:val="2"/>
            <w:vMerge w:val="restart"/>
            <w:tcBorders>
              <w:top w:val="nil"/>
              <w:left w:val="single" w:color="000000" w:sz="8"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类</w:t>
            </w:r>
          </w:p>
        </w:tc>
        <w:tc>
          <w:tcPr>
            <w:tcW w:w="517" w:type="dxa"/>
            <w:gridSpan w:val="2"/>
            <w:vMerge w:val="restart"/>
            <w:tcBorders>
              <w:top w:val="nil"/>
              <w:left w:val="nil"/>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款</w:t>
            </w:r>
          </w:p>
        </w:tc>
        <w:tc>
          <w:tcPr>
            <w:tcW w:w="536" w:type="dxa"/>
            <w:gridSpan w:val="2"/>
            <w:vMerge w:val="restart"/>
            <w:tcBorders>
              <w:top w:val="nil"/>
              <w:left w:val="nil"/>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项</w:t>
            </w:r>
          </w:p>
        </w:tc>
        <w:tc>
          <w:tcPr>
            <w:tcW w:w="3893" w:type="dxa"/>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1517" w:type="dxa"/>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1383" w:type="dxa"/>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940" w:type="dxa"/>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996"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小计</w:t>
            </w:r>
          </w:p>
        </w:tc>
        <w:tc>
          <w:tcPr>
            <w:tcW w:w="1407"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其中：教育收费</w:t>
            </w:r>
          </w:p>
        </w:tc>
        <w:tc>
          <w:tcPr>
            <w:tcW w:w="978" w:type="dxa"/>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939" w:type="dxa"/>
            <w:gridSpan w:val="2"/>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1230" w:type="dxa"/>
            <w:gridSpan w:val="3"/>
            <w:vMerge w:val="continue"/>
            <w:tcBorders>
              <w:left w:val="nil"/>
              <w:bottom w:val="single" w:color="000000" w:sz="4" w:space="0"/>
              <w:right w:val="single" w:color="000000" w:sz="8"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40" w:hRule="exact"/>
        </w:trPr>
        <w:tc>
          <w:tcPr>
            <w:tcW w:w="619" w:type="dxa"/>
            <w:gridSpan w:val="2"/>
            <w:vMerge w:val="continue"/>
            <w:tcBorders>
              <w:left w:val="single" w:color="000000" w:sz="8"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517" w:type="dxa"/>
            <w:gridSpan w:val="2"/>
            <w:vMerge w:val="continue"/>
            <w:tcBorders>
              <w:left w:val="nil"/>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536" w:type="dxa"/>
            <w:gridSpan w:val="2"/>
            <w:vMerge w:val="continue"/>
            <w:tcBorders>
              <w:left w:val="nil"/>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3893"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栏次</w:t>
            </w:r>
          </w:p>
        </w:tc>
        <w:tc>
          <w:tcPr>
            <w:tcW w:w="1517"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1</w:t>
            </w:r>
          </w:p>
        </w:tc>
        <w:tc>
          <w:tcPr>
            <w:tcW w:w="1383"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2</w:t>
            </w:r>
          </w:p>
        </w:tc>
        <w:tc>
          <w:tcPr>
            <w:tcW w:w="9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3</w:t>
            </w: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4</w:t>
            </w:r>
          </w:p>
        </w:tc>
        <w:tc>
          <w:tcPr>
            <w:tcW w:w="978"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5</w:t>
            </w: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6</w:t>
            </w:r>
          </w:p>
        </w:tc>
        <w:tc>
          <w:tcPr>
            <w:tcW w:w="1230" w:type="dxa"/>
            <w:gridSpan w:val="3"/>
            <w:tcBorders>
              <w:top w:val="nil"/>
              <w:left w:val="nil"/>
              <w:bottom w:val="single" w:color="000000" w:sz="4" w:space="0"/>
              <w:right w:val="single" w:color="000000" w:sz="8"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7</w:t>
            </w:r>
          </w:p>
        </w:tc>
      </w:tr>
      <w:tr>
        <w:tblPrEx>
          <w:tblCellMar>
            <w:top w:w="0" w:type="dxa"/>
            <w:left w:w="108" w:type="dxa"/>
            <w:bottom w:w="0" w:type="dxa"/>
            <w:right w:w="108" w:type="dxa"/>
          </w:tblCellMar>
        </w:tblPrEx>
        <w:trPr>
          <w:trHeight w:val="340" w:hRule="exact"/>
        </w:trPr>
        <w:tc>
          <w:tcPr>
            <w:tcW w:w="619" w:type="dxa"/>
            <w:gridSpan w:val="2"/>
            <w:vMerge w:val="continue"/>
            <w:tcBorders>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517" w:type="dxa"/>
            <w:gridSpan w:val="2"/>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536" w:type="dxa"/>
            <w:gridSpan w:val="2"/>
            <w:vMerge w:val="continue"/>
            <w:tcBorders>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p>
        </w:tc>
        <w:tc>
          <w:tcPr>
            <w:tcW w:w="3893"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eastAsiaTheme="majorEastAsia"/>
                <w:color w:val="000000"/>
                <w:kern w:val="0"/>
                <w:sz w:val="18"/>
                <w:szCs w:val="18"/>
              </w:rPr>
            </w:pPr>
            <w:r>
              <w:rPr>
                <w:rFonts w:ascii="Times New Roman" w:hAnsi="Times New Roman" w:cs="Times New Roman" w:eastAsiaTheme="majorEastAsia"/>
                <w:color w:val="000000"/>
                <w:kern w:val="0"/>
                <w:sz w:val="18"/>
                <w:szCs w:val="18"/>
              </w:rPr>
              <w:t>合计</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 xml:space="preserve">1,724,439.52 </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 xml:space="preserve">1,697,556.81 </w:t>
            </w:r>
          </w:p>
        </w:tc>
        <w:tc>
          <w:tcPr>
            <w:tcW w:w="94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2403"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97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939"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 xml:space="preserve">26,882.71 </w:t>
            </w: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208</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社会保障和就业支出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1,550,811.62</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1,523,928.91</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26,882.71</w:t>
            </w: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20805</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行政事业单位养老支出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228,124.91</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228,124.91</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2080501</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行政单位离退休</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40,441.32</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40,441.32</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cs="Times New Roman"/>
                <w:color w:val="000000"/>
                <w:kern w:val="0"/>
                <w:sz w:val="22"/>
                <w:szCs w:val="22"/>
              </w:rPr>
              <w:t>　</w:t>
            </w: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2080505</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机关事业单位基本养老保险缴费支出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 xml:space="preserve">94,216.02 </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 xml:space="preserve">94,216.02 </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2080506</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机关事业单位职业年金缴费支出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 xml:space="preserve">93,467.57 </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 xml:space="preserve">93,467.57 </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201816</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红十字事业</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w:t>
            </w:r>
            <w:r>
              <w:rPr>
                <w:rFonts w:hint="default" w:ascii="Times New Roman" w:hAnsi="Times New Roman" w:eastAsia="宋体" w:cs="Times New Roman"/>
                <w:i w:val="0"/>
                <w:color w:val="000000"/>
                <w:kern w:val="0"/>
                <w:sz w:val="22"/>
                <w:szCs w:val="22"/>
                <w:u w:val="none"/>
                <w:lang w:val="en-US" w:eastAsia="zh-CN" w:bidi="ar"/>
              </w:rPr>
              <w:t>,</w:t>
            </w:r>
            <w:r>
              <w:rPr>
                <w:rFonts w:hint="eastAsia" w:ascii="Times New Roman" w:hAnsi="Times New Roman" w:eastAsia="宋体" w:cs="Times New Roman"/>
                <w:i w:val="0"/>
                <w:color w:val="000000"/>
                <w:kern w:val="0"/>
                <w:sz w:val="22"/>
                <w:szCs w:val="22"/>
                <w:u w:val="none"/>
                <w:lang w:val="en-US" w:eastAsia="zh-CN" w:bidi="ar"/>
              </w:rPr>
              <w:t>322</w:t>
            </w:r>
            <w:r>
              <w:rPr>
                <w:rFonts w:hint="default" w:ascii="Times New Roman" w:hAnsi="Times New Roman" w:eastAsia="宋体" w:cs="Times New Roman"/>
                <w:i w:val="0"/>
                <w:color w:val="000000"/>
                <w:kern w:val="0"/>
                <w:sz w:val="22"/>
                <w:szCs w:val="22"/>
                <w:u w:val="none"/>
                <w:lang w:val="en-US" w:eastAsia="zh-CN" w:bidi="ar"/>
              </w:rPr>
              <w:t>,</w:t>
            </w:r>
            <w:r>
              <w:rPr>
                <w:rFonts w:hint="eastAsia" w:ascii="Times New Roman" w:hAnsi="Times New Roman" w:eastAsia="宋体" w:cs="Times New Roman"/>
                <w:i w:val="0"/>
                <w:color w:val="000000"/>
                <w:kern w:val="0"/>
                <w:sz w:val="22"/>
                <w:szCs w:val="22"/>
                <w:u w:val="none"/>
                <w:lang w:val="en-US" w:eastAsia="zh-CN" w:bidi="ar"/>
              </w:rPr>
              <w:t>686.71</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w:t>
            </w:r>
            <w:r>
              <w:rPr>
                <w:rFonts w:hint="default" w:ascii="Times New Roman" w:hAnsi="Times New Roman" w:eastAsia="宋体" w:cs="Times New Roman"/>
                <w:i w:val="0"/>
                <w:color w:val="000000"/>
                <w:kern w:val="0"/>
                <w:sz w:val="22"/>
                <w:szCs w:val="22"/>
                <w:u w:val="none"/>
                <w:lang w:val="en-US" w:eastAsia="zh-CN" w:bidi="ar"/>
              </w:rPr>
              <w:t>,</w:t>
            </w:r>
            <w:r>
              <w:rPr>
                <w:rFonts w:hint="eastAsia" w:ascii="Times New Roman" w:hAnsi="Times New Roman" w:eastAsia="宋体" w:cs="Times New Roman"/>
                <w:i w:val="0"/>
                <w:color w:val="000000"/>
                <w:kern w:val="0"/>
                <w:sz w:val="22"/>
                <w:szCs w:val="22"/>
                <w:u w:val="none"/>
                <w:lang w:val="en-US" w:eastAsia="zh-CN" w:bidi="ar"/>
              </w:rPr>
              <w:t>295</w:t>
            </w:r>
            <w:r>
              <w:rPr>
                <w:rFonts w:hint="default" w:ascii="Times New Roman" w:hAnsi="Times New Roman" w:eastAsia="宋体" w:cs="Times New Roman"/>
                <w:i w:val="0"/>
                <w:color w:val="000000"/>
                <w:kern w:val="0"/>
                <w:sz w:val="22"/>
                <w:szCs w:val="22"/>
                <w:u w:val="none"/>
                <w:lang w:val="en-US" w:eastAsia="zh-CN" w:bidi="ar"/>
              </w:rPr>
              <w:t>,</w:t>
            </w:r>
            <w:r>
              <w:rPr>
                <w:rFonts w:hint="eastAsia" w:ascii="Times New Roman" w:hAnsi="Times New Roman" w:eastAsia="宋体" w:cs="Times New Roman"/>
                <w:i w:val="0"/>
                <w:color w:val="000000"/>
                <w:kern w:val="0"/>
                <w:sz w:val="22"/>
                <w:szCs w:val="22"/>
                <w:u w:val="none"/>
                <w:lang w:val="en-US" w:eastAsia="zh-CN" w:bidi="ar"/>
              </w:rPr>
              <w:t>804.00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26,882.71</w:t>
            </w: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2081601</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行政运行</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 xml:space="preserve">831,926.71  </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831,804.00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 xml:space="preserve">122.71 </w:t>
            </w: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2081602</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一般行政管理事务</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227,000.00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227,000.00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2081699</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其他红十字事业支出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263,760.00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237,000.00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26,760.00</w:t>
            </w: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210</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卫生健康支出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50,190.90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50,190.90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21011</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行政事业单位医疗</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50,190.90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50,190.90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2101101</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行政单位医疗</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40,123.00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40,123.00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cs="Times New Roman"/>
                <w:color w:val="000000"/>
                <w:kern w:val="0"/>
                <w:sz w:val="22"/>
                <w:szCs w:val="22"/>
              </w:rPr>
              <w:t>　</w:t>
            </w: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cs="Times New Roman"/>
                <w:color w:val="000000"/>
                <w:kern w:val="0"/>
                <w:sz w:val="22"/>
                <w:szCs w:val="22"/>
              </w:rPr>
              <w:t>　</w:t>
            </w: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2101103</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公务员医疗补助</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10,067.90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10,067.90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cs="Times New Roman"/>
                <w:color w:val="000000"/>
                <w:kern w:val="0"/>
                <w:sz w:val="22"/>
                <w:szCs w:val="22"/>
              </w:rPr>
              <w:t>　</w:t>
            </w: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cs="Times New Roman"/>
                <w:color w:val="000000"/>
                <w:kern w:val="0"/>
                <w:sz w:val="22"/>
                <w:szCs w:val="22"/>
              </w:rPr>
              <w:t>　</w:t>
            </w: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p>
        </w:tc>
      </w:tr>
      <w:tr>
        <w:tblPrEx>
          <w:tblCellMar>
            <w:top w:w="0" w:type="dxa"/>
            <w:left w:w="108" w:type="dxa"/>
            <w:bottom w:w="0" w:type="dxa"/>
            <w:right w:w="108" w:type="dxa"/>
          </w:tblCellMar>
        </w:tblPrEx>
        <w:trPr>
          <w:trHeight w:val="340" w:hRule="atLeast"/>
        </w:trPr>
        <w:tc>
          <w:tcPr>
            <w:tcW w:w="1672"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221</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住房保障支出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123,437.00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123,437.00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lang w:val="en-US"/>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40" w:hRule="atLeast"/>
        </w:trPr>
        <w:tc>
          <w:tcPr>
            <w:tcW w:w="1672"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22103</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住房改革支出</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123,437.00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123,437.00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40" w:hRule="atLeast"/>
        </w:trPr>
        <w:tc>
          <w:tcPr>
            <w:tcW w:w="1672"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eastAsia="宋体" w:cs="Times New Roman"/>
                <w:i w:val="0"/>
                <w:color w:val="000000"/>
                <w:kern w:val="0"/>
                <w:sz w:val="22"/>
                <w:szCs w:val="22"/>
                <w:u w:val="none"/>
                <w:lang w:val="en-US" w:eastAsia="zh-CN" w:bidi="ar"/>
              </w:rPr>
              <w:t>2210201</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住房公积金</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89,177.00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89,177.00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p>
        </w:tc>
      </w:tr>
      <w:tr>
        <w:tblPrEx>
          <w:tblCellMar>
            <w:top w:w="0" w:type="dxa"/>
            <w:left w:w="108" w:type="dxa"/>
            <w:bottom w:w="0" w:type="dxa"/>
            <w:right w:w="108" w:type="dxa"/>
          </w:tblCellMar>
        </w:tblPrEx>
        <w:trPr>
          <w:trHeight w:val="340" w:hRule="atLeast"/>
        </w:trPr>
        <w:tc>
          <w:tcPr>
            <w:tcW w:w="1672"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lang w:val="en-US" w:eastAsia="zh-CN"/>
              </w:rPr>
            </w:pPr>
            <w:r>
              <w:rPr>
                <w:rFonts w:hint="default" w:ascii="Times New Roman" w:hAnsi="Times New Roman" w:eastAsia="宋体" w:cs="Times New Roman"/>
                <w:i w:val="0"/>
                <w:color w:val="000000"/>
                <w:kern w:val="0"/>
                <w:sz w:val="22"/>
                <w:szCs w:val="22"/>
                <w:u w:val="none"/>
                <w:lang w:val="en-US" w:eastAsia="zh-CN" w:bidi="ar"/>
              </w:rPr>
              <w:t>2210203</w:t>
            </w:r>
          </w:p>
        </w:tc>
        <w:tc>
          <w:tcPr>
            <w:tcW w:w="389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ajorEastAsia"/>
                <w:color w:val="000000"/>
                <w:kern w:val="0"/>
                <w:sz w:val="18"/>
                <w:szCs w:val="18"/>
              </w:rPr>
            </w:pPr>
            <w:r>
              <w:rPr>
                <w:rFonts w:hint="default" w:ascii="Times New Roman" w:hAnsi="Times New Roman" w:eastAsia="宋体" w:cs="Times New Roman"/>
                <w:i w:val="0"/>
                <w:color w:val="000000"/>
                <w:kern w:val="0"/>
                <w:sz w:val="22"/>
                <w:szCs w:val="22"/>
                <w:u w:val="none"/>
                <w:lang w:val="en-US" w:eastAsia="zh-CN" w:bidi="ar"/>
              </w:rPr>
              <w:t>购房补贴</w:t>
            </w:r>
          </w:p>
        </w:tc>
        <w:tc>
          <w:tcPr>
            <w:tcW w:w="151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34,260.00</w:t>
            </w:r>
          </w:p>
        </w:tc>
        <w:tc>
          <w:tcPr>
            <w:tcW w:w="13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34,260.00</w:t>
            </w:r>
          </w:p>
        </w:tc>
        <w:tc>
          <w:tcPr>
            <w:tcW w:w="940"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2403"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78" w:type="dxa"/>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939" w:type="dxa"/>
            <w:gridSpan w:val="2"/>
            <w:tcBorders>
              <w:top w:val="nil"/>
              <w:left w:val="nil"/>
              <w:bottom w:val="single" w:color="000000" w:sz="4" w:space="0"/>
              <w:right w:val="single" w:color="000000" w:sz="4" w:space="0"/>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lang w:val="en-US" w:eastAsia="zh-CN"/>
              </w:rPr>
            </w:pPr>
          </w:p>
        </w:tc>
        <w:tc>
          <w:tcPr>
            <w:tcW w:w="1230" w:type="dxa"/>
            <w:gridSpan w:val="3"/>
            <w:tcBorders>
              <w:top w:val="nil"/>
              <w:left w:val="nil"/>
              <w:bottom w:val="single" w:color="000000" w:sz="4" w:space="0"/>
              <w:right w:val="single" w:color="000000" w:sz="8"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p>
        </w:tc>
      </w:tr>
      <w:tr>
        <w:tblPrEx>
          <w:tblCellMar>
            <w:top w:w="0" w:type="dxa"/>
            <w:left w:w="108" w:type="dxa"/>
            <w:bottom w:w="0" w:type="dxa"/>
            <w:right w:w="108" w:type="dxa"/>
          </w:tblCellMar>
        </w:tblPrEx>
        <w:trPr>
          <w:gridAfter w:val="2"/>
          <w:wAfter w:w="215" w:type="dxa"/>
          <w:trHeight w:val="323" w:hRule="exact"/>
        </w:trPr>
        <w:tc>
          <w:tcPr>
            <w:tcW w:w="14740" w:type="dxa"/>
            <w:gridSpan w:val="16"/>
            <w:tcBorders>
              <w:top w:val="single" w:color="000000" w:sz="8" w:space="0"/>
              <w:left w:val="nil"/>
              <w:bottom w:val="nil"/>
              <w:right w:val="nil"/>
            </w:tcBorders>
            <w:shd w:val="clear" w:color="auto" w:fill="auto"/>
            <w:vAlign w:val="bottom"/>
          </w:tcPr>
          <w:p>
            <w:pPr>
              <w:widowControl/>
              <w:jc w:val="left"/>
              <w:rPr>
                <w:rFonts w:hint="eastAsia" w:ascii="Times New Roman" w:hAnsi="Times New Roman" w:cs="Times New Roman" w:eastAsiaTheme="minorEastAsia"/>
                <w:color w:val="000000"/>
                <w:kern w:val="0"/>
                <w:sz w:val="22"/>
                <w:szCs w:val="22"/>
                <w:lang w:eastAsia="zh-CN"/>
              </w:rPr>
            </w:pPr>
            <w:r>
              <w:rPr>
                <w:rFonts w:ascii="Times New Roman" w:hAnsi="Times New Roman" w:cs="Times New Roman"/>
                <w:color w:val="000000"/>
                <w:kern w:val="0"/>
                <w:sz w:val="22"/>
                <w:szCs w:val="22"/>
              </w:rPr>
              <w:t>注：本表反映部门本年度取得的各项收入情况，数据取自财决03表</w:t>
            </w:r>
            <w:r>
              <w:rPr>
                <w:rFonts w:hint="eastAsia" w:ascii="Times New Roman" w:hAnsi="Times New Roman" w:cs="Times New Roman"/>
                <w:color w:val="000000"/>
                <w:kern w:val="0"/>
                <w:sz w:val="22"/>
                <w:szCs w:val="22"/>
                <w:lang w:eastAsia="zh-CN"/>
              </w:rPr>
              <w:t>。</w:t>
            </w:r>
          </w:p>
        </w:tc>
      </w:tr>
    </w:tbl>
    <w:p>
      <w:pPr>
        <w:spacing w:line="580" w:lineRule="exact"/>
        <w:rPr>
          <w:rFonts w:ascii="Times New Roman" w:hAnsi="Times New Roman" w:cs="Times New Roman"/>
        </w:rPr>
      </w:pPr>
    </w:p>
    <w:tbl>
      <w:tblPr>
        <w:tblStyle w:val="10"/>
        <w:tblpPr w:leftFromText="180" w:rightFromText="180" w:vertAnchor="text" w:horzAnchor="page" w:tblpX="1039" w:tblpY="528"/>
        <w:tblOverlap w:val="never"/>
        <w:tblW w:w="15194" w:type="dxa"/>
        <w:tblInd w:w="0" w:type="dxa"/>
        <w:tblLayout w:type="fixed"/>
        <w:tblCellMar>
          <w:top w:w="0" w:type="dxa"/>
          <w:left w:w="108" w:type="dxa"/>
          <w:bottom w:w="0" w:type="dxa"/>
          <w:right w:w="108" w:type="dxa"/>
        </w:tblCellMar>
      </w:tblPr>
      <w:tblGrid>
        <w:gridCol w:w="704"/>
        <w:gridCol w:w="202"/>
        <w:gridCol w:w="455"/>
        <w:gridCol w:w="455"/>
        <w:gridCol w:w="220"/>
        <w:gridCol w:w="3798"/>
        <w:gridCol w:w="1653"/>
        <w:gridCol w:w="1463"/>
        <w:gridCol w:w="1527"/>
        <w:gridCol w:w="1613"/>
        <w:gridCol w:w="1361"/>
        <w:gridCol w:w="1655"/>
        <w:gridCol w:w="88"/>
      </w:tblGrid>
      <w:tr>
        <w:tblPrEx>
          <w:tblCellMar>
            <w:top w:w="0" w:type="dxa"/>
            <w:left w:w="108" w:type="dxa"/>
            <w:bottom w:w="0" w:type="dxa"/>
            <w:right w:w="108" w:type="dxa"/>
          </w:tblCellMar>
        </w:tblPrEx>
        <w:trPr>
          <w:gridAfter w:val="1"/>
          <w:wAfter w:w="88" w:type="dxa"/>
          <w:trHeight w:val="940" w:hRule="atLeast"/>
        </w:trPr>
        <w:tc>
          <w:tcPr>
            <w:tcW w:w="15106" w:type="dxa"/>
            <w:gridSpan w:val="12"/>
            <w:tcBorders>
              <w:tl2br w:val="nil"/>
              <w:tr2bl w:val="nil"/>
            </w:tcBorders>
            <w:shd w:val="clear" w:color="auto" w:fill="auto"/>
            <w:vAlign w:val="bottom"/>
          </w:tcPr>
          <w:p>
            <w:pPr>
              <w:widowControl/>
              <w:jc w:val="center"/>
              <w:rPr>
                <w:rFonts w:ascii="Times New Roman" w:hAnsi="Times New Roman" w:cs="Times New Roman"/>
                <w:color w:val="000000"/>
                <w:kern w:val="0"/>
                <w:sz w:val="44"/>
                <w:szCs w:val="44"/>
              </w:rPr>
            </w:pPr>
            <w:r>
              <w:rPr>
                <w:rFonts w:ascii="Times New Roman" w:hAnsi="Times New Roman" w:cs="Times New Roman"/>
                <w:b/>
                <w:bCs/>
                <w:color w:val="000000"/>
                <w:kern w:val="0"/>
                <w:sz w:val="44"/>
                <w:szCs w:val="44"/>
              </w:rPr>
              <w:t>支出决算表</w:t>
            </w:r>
          </w:p>
        </w:tc>
      </w:tr>
      <w:tr>
        <w:tblPrEx>
          <w:tblCellMar>
            <w:top w:w="0" w:type="dxa"/>
            <w:left w:w="108" w:type="dxa"/>
            <w:bottom w:w="0" w:type="dxa"/>
            <w:right w:w="108" w:type="dxa"/>
          </w:tblCellMar>
        </w:tblPrEx>
        <w:trPr>
          <w:trHeight w:val="369" w:hRule="atLeast"/>
        </w:trPr>
        <w:tc>
          <w:tcPr>
            <w:tcW w:w="906" w:type="dxa"/>
            <w:gridSpan w:val="2"/>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55"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55"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018" w:type="dxa"/>
            <w:gridSpan w:val="2"/>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653"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463"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527"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613"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361" w:type="dxa"/>
            <w:tcBorders>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743" w:type="dxa"/>
            <w:gridSpan w:val="2"/>
            <w:tcBorders>
              <w:tl2br w:val="nil"/>
              <w:tr2bl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公开03表</w:t>
            </w:r>
          </w:p>
        </w:tc>
      </w:tr>
      <w:tr>
        <w:tblPrEx>
          <w:tblCellMar>
            <w:top w:w="0" w:type="dxa"/>
            <w:left w:w="108" w:type="dxa"/>
            <w:bottom w:w="0" w:type="dxa"/>
            <w:right w:w="108" w:type="dxa"/>
          </w:tblCellMar>
        </w:tblPrEx>
        <w:trPr>
          <w:trHeight w:val="369" w:hRule="atLeast"/>
        </w:trPr>
        <w:tc>
          <w:tcPr>
            <w:tcW w:w="5834" w:type="dxa"/>
            <w:gridSpan w:val="6"/>
            <w:tcBorders>
              <w:bottom w:val="single" w:color="000000" w:sz="4" w:space="0"/>
              <w:tl2br w:val="nil"/>
              <w:tr2bl w:val="nil"/>
            </w:tcBorders>
            <w:shd w:val="clear" w:color="auto" w:fill="auto"/>
            <w:vAlign w:val="bottom"/>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公开部门：</w:t>
            </w:r>
            <w:r>
              <w:rPr>
                <w:rFonts w:hint="eastAsia" w:ascii="Times New Roman" w:hAnsi="Times New Roman" w:cs="Times New Roman"/>
                <w:color w:val="000000"/>
                <w:kern w:val="0"/>
                <w:sz w:val="24"/>
                <w:lang w:eastAsia="zh-CN"/>
              </w:rPr>
              <w:t>中卫市红十字会</w:t>
            </w:r>
          </w:p>
        </w:tc>
        <w:tc>
          <w:tcPr>
            <w:tcW w:w="1653" w:type="dxa"/>
            <w:tcBorders>
              <w:bottom w:val="single" w:color="000000" w:sz="4" w:space="0"/>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463" w:type="dxa"/>
            <w:tcBorders>
              <w:bottom w:val="single" w:color="000000" w:sz="4" w:space="0"/>
              <w:tl2br w:val="nil"/>
              <w:tr2bl w:val="nil"/>
            </w:tcBorders>
            <w:shd w:val="clear" w:color="auto" w:fill="auto"/>
            <w:vAlign w:val="bottom"/>
          </w:tcPr>
          <w:p>
            <w:pPr>
              <w:widowControl/>
              <w:jc w:val="center"/>
              <w:rPr>
                <w:rFonts w:ascii="Times New Roman" w:hAnsi="Times New Roman" w:cs="Times New Roman"/>
                <w:color w:val="000000"/>
                <w:kern w:val="0"/>
                <w:sz w:val="24"/>
              </w:rPr>
            </w:pPr>
          </w:p>
        </w:tc>
        <w:tc>
          <w:tcPr>
            <w:tcW w:w="1527" w:type="dxa"/>
            <w:tcBorders>
              <w:bottom w:val="single" w:color="000000" w:sz="4" w:space="0"/>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613" w:type="dxa"/>
            <w:tcBorders>
              <w:bottom w:val="single" w:color="000000" w:sz="4" w:space="0"/>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361" w:type="dxa"/>
            <w:tcBorders>
              <w:bottom w:val="single" w:color="000000" w:sz="4" w:space="0"/>
              <w:tl2br w:val="nil"/>
              <w:tr2bl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743" w:type="dxa"/>
            <w:gridSpan w:val="2"/>
            <w:tcBorders>
              <w:bottom w:val="single" w:color="000000" w:sz="4" w:space="0"/>
              <w:tl2br w:val="nil"/>
              <w:tr2bl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金额单位：元</w:t>
            </w:r>
          </w:p>
        </w:tc>
      </w:tr>
      <w:tr>
        <w:tblPrEx>
          <w:tblCellMar>
            <w:top w:w="0" w:type="dxa"/>
            <w:left w:w="108" w:type="dxa"/>
            <w:bottom w:w="0" w:type="dxa"/>
            <w:right w:w="108" w:type="dxa"/>
          </w:tblCellMar>
        </w:tblPrEx>
        <w:trPr>
          <w:trHeight w:val="357" w:hRule="atLeast"/>
        </w:trPr>
        <w:tc>
          <w:tcPr>
            <w:tcW w:w="5834" w:type="dxa"/>
            <w:gridSpan w:val="6"/>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w:t>
            </w:r>
          </w:p>
        </w:tc>
        <w:tc>
          <w:tcPr>
            <w:tcW w:w="1653" w:type="dxa"/>
            <w:vMerge w:val="restart"/>
            <w:tcBorders>
              <w:top w:val="single" w:color="000000" w:sz="4" w:space="0"/>
              <w:left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本年支出合计</w:t>
            </w:r>
          </w:p>
        </w:tc>
        <w:tc>
          <w:tcPr>
            <w:tcW w:w="1463" w:type="dxa"/>
            <w:vMerge w:val="restart"/>
            <w:tcBorders>
              <w:top w:val="single" w:color="000000" w:sz="4" w:space="0"/>
              <w:left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基本支出</w:t>
            </w:r>
          </w:p>
        </w:tc>
        <w:tc>
          <w:tcPr>
            <w:tcW w:w="1527" w:type="dxa"/>
            <w:vMerge w:val="restart"/>
            <w:tcBorders>
              <w:top w:val="single" w:color="000000" w:sz="4" w:space="0"/>
              <w:left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项目支出</w:t>
            </w:r>
          </w:p>
        </w:tc>
        <w:tc>
          <w:tcPr>
            <w:tcW w:w="1613" w:type="dxa"/>
            <w:vMerge w:val="restart"/>
            <w:tcBorders>
              <w:top w:val="single" w:color="000000" w:sz="4" w:space="0"/>
              <w:left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上缴上级支出</w:t>
            </w:r>
          </w:p>
        </w:tc>
        <w:tc>
          <w:tcPr>
            <w:tcW w:w="1361" w:type="dxa"/>
            <w:vMerge w:val="restart"/>
            <w:tcBorders>
              <w:top w:val="single" w:color="000000" w:sz="4" w:space="0"/>
              <w:left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经营支出</w:t>
            </w:r>
          </w:p>
        </w:tc>
        <w:tc>
          <w:tcPr>
            <w:tcW w:w="1743" w:type="dxa"/>
            <w:gridSpan w:val="2"/>
            <w:vMerge w:val="restart"/>
            <w:tcBorders>
              <w:top w:val="single" w:color="000000" w:sz="4" w:space="0"/>
              <w:left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对附属单位补助支出</w:t>
            </w: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功能分类科目编码</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科目名称</w:t>
            </w:r>
          </w:p>
        </w:tc>
        <w:tc>
          <w:tcPr>
            <w:tcW w:w="1653" w:type="dxa"/>
            <w:vMerge w:val="continue"/>
            <w:tcBorders>
              <w:left w:val="single" w:color="000000" w:sz="4" w:space="0"/>
              <w:bottom w:val="single" w:color="000000" w:sz="4" w:space="0"/>
              <w:right w:val="single" w:color="000000" w:sz="4" w:space="0"/>
              <w:tl2br w:val="nil"/>
              <w:tr2bl w:val="nil"/>
            </w:tcBorders>
            <w:vAlign w:val="center"/>
          </w:tcPr>
          <w:p>
            <w:pPr>
              <w:widowControl/>
              <w:jc w:val="left"/>
              <w:rPr>
                <w:rFonts w:ascii="Times New Roman" w:hAnsi="Times New Roman" w:cs="Times New Roman"/>
                <w:color w:val="000000"/>
                <w:kern w:val="0"/>
                <w:sz w:val="22"/>
                <w:szCs w:val="22"/>
              </w:rPr>
            </w:pPr>
          </w:p>
        </w:tc>
        <w:tc>
          <w:tcPr>
            <w:tcW w:w="1463" w:type="dxa"/>
            <w:vMerge w:val="continue"/>
            <w:tcBorders>
              <w:left w:val="single" w:color="000000" w:sz="4" w:space="0"/>
              <w:bottom w:val="single" w:color="000000" w:sz="4" w:space="0"/>
              <w:right w:val="single" w:color="000000" w:sz="4" w:space="0"/>
              <w:tl2br w:val="nil"/>
              <w:tr2bl w:val="nil"/>
            </w:tcBorders>
            <w:vAlign w:val="center"/>
          </w:tcPr>
          <w:p>
            <w:pPr>
              <w:widowControl/>
              <w:jc w:val="center"/>
              <w:rPr>
                <w:rFonts w:ascii="Times New Roman" w:hAnsi="Times New Roman" w:cs="Times New Roman"/>
                <w:color w:val="000000"/>
                <w:kern w:val="0"/>
                <w:sz w:val="22"/>
                <w:szCs w:val="22"/>
              </w:rPr>
            </w:pPr>
          </w:p>
        </w:tc>
        <w:tc>
          <w:tcPr>
            <w:tcW w:w="1527" w:type="dxa"/>
            <w:vMerge w:val="continue"/>
            <w:tcBorders>
              <w:left w:val="single" w:color="000000" w:sz="4" w:space="0"/>
              <w:bottom w:val="single" w:color="000000" w:sz="4" w:space="0"/>
              <w:right w:val="single" w:color="000000" w:sz="4" w:space="0"/>
              <w:tl2br w:val="nil"/>
              <w:tr2bl w:val="nil"/>
            </w:tcBorders>
            <w:vAlign w:val="center"/>
          </w:tcPr>
          <w:p>
            <w:pPr>
              <w:widowControl/>
              <w:jc w:val="center"/>
              <w:rPr>
                <w:rFonts w:ascii="Times New Roman" w:hAnsi="Times New Roman" w:cs="Times New Roman"/>
                <w:color w:val="000000"/>
                <w:kern w:val="0"/>
                <w:sz w:val="22"/>
                <w:szCs w:val="22"/>
              </w:rPr>
            </w:pPr>
          </w:p>
        </w:tc>
        <w:tc>
          <w:tcPr>
            <w:tcW w:w="1613" w:type="dxa"/>
            <w:vMerge w:val="continue"/>
            <w:tcBorders>
              <w:left w:val="single" w:color="000000" w:sz="4" w:space="0"/>
              <w:bottom w:val="single" w:color="000000" w:sz="4" w:space="0"/>
              <w:right w:val="single" w:color="000000" w:sz="4" w:space="0"/>
              <w:tl2br w:val="nil"/>
              <w:tr2bl w:val="nil"/>
            </w:tcBorders>
            <w:vAlign w:val="center"/>
          </w:tcPr>
          <w:p>
            <w:pPr>
              <w:widowControl/>
              <w:jc w:val="center"/>
              <w:rPr>
                <w:rFonts w:ascii="Times New Roman" w:hAnsi="Times New Roman" w:cs="Times New Roman"/>
                <w:color w:val="000000"/>
                <w:kern w:val="0"/>
                <w:sz w:val="22"/>
                <w:szCs w:val="22"/>
              </w:rPr>
            </w:pPr>
          </w:p>
        </w:tc>
        <w:tc>
          <w:tcPr>
            <w:tcW w:w="1361" w:type="dxa"/>
            <w:vMerge w:val="continue"/>
            <w:tcBorders>
              <w:left w:val="single" w:color="000000" w:sz="4" w:space="0"/>
              <w:bottom w:val="single" w:color="000000" w:sz="4" w:space="0"/>
              <w:right w:val="single" w:color="000000" w:sz="4" w:space="0"/>
              <w:tl2br w:val="nil"/>
              <w:tr2bl w:val="nil"/>
            </w:tcBorders>
            <w:vAlign w:val="center"/>
          </w:tcPr>
          <w:p>
            <w:pPr>
              <w:widowControl/>
              <w:jc w:val="center"/>
              <w:rPr>
                <w:rFonts w:ascii="Times New Roman" w:hAnsi="Times New Roman" w:cs="Times New Roman"/>
                <w:color w:val="000000"/>
                <w:kern w:val="0"/>
                <w:sz w:val="22"/>
                <w:szCs w:val="22"/>
              </w:rPr>
            </w:pPr>
          </w:p>
        </w:tc>
        <w:tc>
          <w:tcPr>
            <w:tcW w:w="1743" w:type="dxa"/>
            <w:gridSpan w:val="2"/>
            <w:vMerge w:val="continue"/>
            <w:tcBorders>
              <w:left w:val="single" w:color="000000" w:sz="4" w:space="0"/>
              <w:bottom w:val="single" w:color="000000" w:sz="4" w:space="0"/>
              <w:right w:val="single" w:color="000000" w:sz="4" w:space="0"/>
              <w:tl2br w:val="nil"/>
              <w:tr2bl w:val="nil"/>
            </w:tcBorders>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704" w:type="dxa"/>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类</w:t>
            </w:r>
          </w:p>
        </w:tc>
        <w:tc>
          <w:tcPr>
            <w:tcW w:w="657" w:type="dxa"/>
            <w:gridSpan w:val="2"/>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款</w:t>
            </w:r>
          </w:p>
        </w:tc>
        <w:tc>
          <w:tcPr>
            <w:tcW w:w="675" w:type="dxa"/>
            <w:gridSpan w:val="2"/>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栏次</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2</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3</w:t>
            </w: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4</w:t>
            </w: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5</w:t>
            </w: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6</w:t>
            </w:r>
          </w:p>
        </w:tc>
      </w:tr>
      <w:tr>
        <w:tblPrEx>
          <w:tblCellMar>
            <w:top w:w="0" w:type="dxa"/>
            <w:left w:w="108" w:type="dxa"/>
            <w:bottom w:w="0" w:type="dxa"/>
            <w:right w:w="108" w:type="dxa"/>
          </w:tblCellMar>
        </w:tblPrEx>
        <w:trPr>
          <w:trHeight w:val="357" w:hRule="atLeast"/>
        </w:trPr>
        <w:tc>
          <w:tcPr>
            <w:tcW w:w="704"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left"/>
              <w:rPr>
                <w:rFonts w:ascii="Times New Roman" w:hAnsi="Times New Roman" w:cs="Times New Roman"/>
                <w:color w:val="000000"/>
                <w:kern w:val="0"/>
                <w:sz w:val="22"/>
                <w:szCs w:val="22"/>
              </w:rPr>
            </w:pPr>
          </w:p>
        </w:tc>
        <w:tc>
          <w:tcPr>
            <w:tcW w:w="657" w:type="dxa"/>
            <w:gridSpan w:val="2"/>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left"/>
              <w:rPr>
                <w:rFonts w:ascii="Times New Roman" w:hAnsi="Times New Roman" w:cs="Times New Roman"/>
                <w:color w:val="000000"/>
                <w:kern w:val="0"/>
                <w:sz w:val="22"/>
                <w:szCs w:val="22"/>
              </w:rPr>
            </w:pPr>
          </w:p>
        </w:tc>
        <w:tc>
          <w:tcPr>
            <w:tcW w:w="675" w:type="dxa"/>
            <w:gridSpan w:val="2"/>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left"/>
              <w:rPr>
                <w:rFonts w:ascii="Times New Roman" w:hAnsi="Times New Roman" w:cs="Times New Roman"/>
                <w:color w:val="000000"/>
                <w:kern w:val="0"/>
                <w:sz w:val="22"/>
                <w:szCs w:val="22"/>
              </w:rPr>
            </w:pP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合计</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1,725,795.91 </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1,233,732.76</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492,063.15</w:t>
            </w: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cs="Times New Roman"/>
                <w:color w:val="000000"/>
                <w:kern w:val="0"/>
                <w:sz w:val="22"/>
                <w:szCs w:val="22"/>
              </w:rPr>
            </w:pPr>
            <w:r>
              <w:rPr>
                <w:rFonts w:hint="eastAsia" w:ascii="Times New Roman" w:hAnsi="Times New Roman" w:eastAsia="宋体" w:cs="Times New Roman"/>
                <w:i w:val="0"/>
                <w:color w:val="000000"/>
                <w:kern w:val="0"/>
                <w:sz w:val="22"/>
                <w:szCs w:val="22"/>
                <w:u w:val="none"/>
                <w:lang w:val="en-US" w:eastAsia="zh-CN" w:bidi="ar"/>
              </w:rPr>
              <w:t>208</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cs="Times New Roman"/>
                <w:color w:val="000000"/>
                <w:kern w:val="0"/>
                <w:sz w:val="22"/>
                <w:szCs w:val="22"/>
              </w:rPr>
            </w:pPr>
            <w:r>
              <w:rPr>
                <w:rFonts w:hint="eastAsia" w:ascii="Times New Roman" w:hAnsi="Times New Roman" w:eastAsia="宋体" w:cs="Times New Roman"/>
                <w:i w:val="0"/>
                <w:color w:val="000000"/>
                <w:kern w:val="0"/>
                <w:sz w:val="22"/>
                <w:szCs w:val="22"/>
                <w:u w:val="none"/>
                <w:lang w:val="en-US" w:eastAsia="zh-CN" w:bidi="ar"/>
              </w:rPr>
              <w:t>社会保障和就业支出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1,552,114.77</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1,060,051.62</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492,063.15</w:t>
            </w: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cs="Times New Roman"/>
                <w:color w:val="000000"/>
                <w:kern w:val="0"/>
                <w:sz w:val="22"/>
                <w:szCs w:val="22"/>
              </w:rPr>
            </w:pPr>
            <w:r>
              <w:rPr>
                <w:rFonts w:hint="eastAsia" w:ascii="Times New Roman" w:hAnsi="Times New Roman" w:eastAsia="宋体" w:cs="Times New Roman"/>
                <w:i w:val="0"/>
                <w:color w:val="000000"/>
                <w:kern w:val="0"/>
                <w:sz w:val="22"/>
                <w:szCs w:val="22"/>
                <w:u w:val="none"/>
                <w:lang w:val="en-US" w:eastAsia="zh-CN" w:bidi="ar"/>
              </w:rPr>
              <w:t>20805</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cs="Times New Roman"/>
                <w:color w:val="000000"/>
                <w:kern w:val="0"/>
                <w:sz w:val="22"/>
                <w:szCs w:val="22"/>
              </w:rPr>
            </w:pPr>
            <w:r>
              <w:rPr>
                <w:rFonts w:hint="eastAsia" w:ascii="Times New Roman" w:hAnsi="Times New Roman" w:eastAsia="宋体" w:cs="Times New Roman"/>
                <w:i w:val="0"/>
                <w:color w:val="000000"/>
                <w:kern w:val="0"/>
                <w:sz w:val="22"/>
                <w:szCs w:val="22"/>
                <w:u w:val="none"/>
                <w:lang w:val="en-US" w:eastAsia="zh-CN" w:bidi="ar"/>
              </w:rPr>
              <w:t>行政事业单位养老支出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228,124.91</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228,124.91</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2080501</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行政单位离退休</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40,441.32</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40,441.32</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eastAsia="zh-CN"/>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r>
              <w:rPr>
                <w:rFonts w:hint="default" w:ascii="Times New Roman" w:hAnsi="Times New Roman" w:cs="Times New Roman"/>
                <w:color w:val="000000"/>
                <w:kern w:val="0"/>
                <w:sz w:val="22"/>
                <w:szCs w:val="22"/>
              </w:rPr>
              <w:t>　</w:t>
            </w: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rPr>
            </w:pPr>
            <w:r>
              <w:rPr>
                <w:rFonts w:hint="default" w:ascii="Times New Roman" w:hAnsi="Times New Roman" w:eastAsia="宋体" w:cs="Times New Roman"/>
                <w:i w:val="0"/>
                <w:color w:val="000000"/>
                <w:kern w:val="0"/>
                <w:sz w:val="22"/>
                <w:szCs w:val="22"/>
                <w:u w:val="none"/>
                <w:lang w:val="en-US" w:eastAsia="zh-CN" w:bidi="ar"/>
              </w:rPr>
              <w:t>2080505</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机关事业单位基本养老保险缴费支出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 xml:space="preserve">94,216.02 </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 xml:space="preserve">94,216.02 </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eastAsia="zh-CN"/>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rPr>
            </w:pPr>
            <w:r>
              <w:rPr>
                <w:rFonts w:hint="default" w:ascii="Times New Roman" w:hAnsi="Times New Roman" w:eastAsia="宋体" w:cs="Times New Roman"/>
                <w:i w:val="0"/>
                <w:color w:val="000000"/>
                <w:kern w:val="0"/>
                <w:sz w:val="22"/>
                <w:szCs w:val="22"/>
                <w:u w:val="none"/>
                <w:lang w:val="en-US" w:eastAsia="zh-CN" w:bidi="ar"/>
              </w:rPr>
              <w:t>2080506</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机关事业单位职业年金缴费支出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 xml:space="preserve">93,467.57 </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 xml:space="preserve">93,467.57 </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eastAsia="zh-CN"/>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201816</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红十字事业</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1,323,989.86</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831,926.71</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492,063.15</w:t>
            </w: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rPr>
            </w:pPr>
            <w:r>
              <w:rPr>
                <w:rFonts w:hint="default" w:ascii="Times New Roman" w:hAnsi="Times New Roman" w:eastAsia="宋体" w:cs="Times New Roman"/>
                <w:i w:val="0"/>
                <w:color w:val="000000"/>
                <w:kern w:val="0"/>
                <w:sz w:val="22"/>
                <w:szCs w:val="22"/>
                <w:u w:val="none"/>
                <w:lang w:val="en-US" w:eastAsia="zh-CN" w:bidi="ar"/>
              </w:rPr>
              <w:t>2081601</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行政运行</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831,926.71</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831,926.71</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eastAsia="zh-CN"/>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rPr>
            </w:pPr>
            <w:r>
              <w:rPr>
                <w:rFonts w:hint="default" w:ascii="Times New Roman" w:hAnsi="Times New Roman" w:eastAsia="宋体" w:cs="Times New Roman"/>
                <w:i w:val="0"/>
                <w:color w:val="000000"/>
                <w:kern w:val="0"/>
                <w:sz w:val="22"/>
                <w:szCs w:val="22"/>
                <w:u w:val="none"/>
                <w:lang w:val="en-US" w:eastAsia="zh-CN" w:bidi="ar"/>
              </w:rPr>
              <w:t>2081602</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一般行政管理事务</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231,556.05</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231,556.05</w:t>
            </w: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2081699</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其他红十字事业支出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260,507.10</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260,507.10</w:t>
            </w: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210</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卫生健康支出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50,244.14</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50,244.14</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21011</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行政事业单位医疗</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50,244.14</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50,244.14</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2101101</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行政单位医疗</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40,176.24 </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40,176.24 </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2101103</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公务员医疗补助</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10,067.90</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10,067.90</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221</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住房保障支出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22103</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住房改革支出</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2210201</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住房公积金</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89,177.00</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89,177.00</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trPr>
        <w:tc>
          <w:tcPr>
            <w:tcW w:w="2036"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2210203</w:t>
            </w:r>
          </w:p>
        </w:tc>
        <w:tc>
          <w:tcPr>
            <w:tcW w:w="3798"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购房补贴</w:t>
            </w:r>
          </w:p>
        </w:tc>
        <w:tc>
          <w:tcPr>
            <w:tcW w:w="165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34,260.00</w:t>
            </w:r>
          </w:p>
        </w:tc>
        <w:tc>
          <w:tcPr>
            <w:tcW w:w="146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34,260.00</w:t>
            </w:r>
          </w:p>
        </w:tc>
        <w:tc>
          <w:tcPr>
            <w:tcW w:w="152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1613"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361"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c>
          <w:tcPr>
            <w:tcW w:w="1743"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widowControl/>
              <w:jc w:val="right"/>
              <w:rPr>
                <w:rFonts w:hint="default" w:ascii="Times New Roman" w:hAnsi="Times New Roman" w:cs="Times New Roman"/>
                <w:color w:val="000000"/>
                <w:kern w:val="0"/>
                <w:sz w:val="22"/>
                <w:szCs w:val="22"/>
              </w:rPr>
            </w:pPr>
          </w:p>
        </w:tc>
      </w:tr>
      <w:tr>
        <w:tblPrEx>
          <w:tblCellMar>
            <w:top w:w="0" w:type="dxa"/>
            <w:left w:w="108" w:type="dxa"/>
            <w:bottom w:w="0" w:type="dxa"/>
            <w:right w:w="108" w:type="dxa"/>
          </w:tblCellMar>
        </w:tblPrEx>
        <w:trPr>
          <w:gridAfter w:val="1"/>
          <w:wAfter w:w="88" w:type="dxa"/>
          <w:trHeight w:val="369" w:hRule="exact"/>
        </w:trPr>
        <w:tc>
          <w:tcPr>
            <w:tcW w:w="15106" w:type="dxa"/>
            <w:gridSpan w:val="12"/>
            <w:tcBorders>
              <w:top w:val="single" w:color="000000" w:sz="4" w:space="0"/>
              <w:tl2br w:val="nil"/>
              <w:tr2bl w:val="nil"/>
            </w:tcBorders>
            <w:shd w:val="clear" w:color="auto" w:fill="auto"/>
            <w:vAlign w:val="bottom"/>
          </w:tcPr>
          <w:p>
            <w:pPr>
              <w:widowControl/>
              <w:jc w:val="left"/>
              <w:rPr>
                <w:rFonts w:hint="eastAsia" w:ascii="Times New Roman" w:hAnsi="Times New Roman" w:cs="Times New Roman" w:eastAsiaTheme="minorEastAsia"/>
                <w:color w:val="000000"/>
                <w:kern w:val="0"/>
                <w:sz w:val="22"/>
                <w:szCs w:val="22"/>
                <w:lang w:eastAsia="zh-CN"/>
              </w:rPr>
            </w:pPr>
            <w:r>
              <w:rPr>
                <w:rFonts w:ascii="Times New Roman" w:hAnsi="Times New Roman" w:cs="Times New Roman"/>
                <w:color w:val="000000"/>
                <w:kern w:val="0"/>
                <w:sz w:val="22"/>
                <w:szCs w:val="22"/>
              </w:rPr>
              <w:t>注：本表反映部门本年度各项支出情况，数据取自财决04表</w:t>
            </w:r>
            <w:r>
              <w:rPr>
                <w:rFonts w:hint="eastAsia" w:ascii="Times New Roman" w:hAnsi="Times New Roman" w:cs="Times New Roman"/>
                <w:color w:val="000000"/>
                <w:kern w:val="0"/>
                <w:sz w:val="22"/>
                <w:szCs w:val="22"/>
                <w:lang w:eastAsia="zh-CN"/>
              </w:rPr>
              <w:t>。</w:t>
            </w:r>
          </w:p>
        </w:tc>
      </w:tr>
    </w:tbl>
    <w:tbl>
      <w:tblPr>
        <w:tblStyle w:val="10"/>
        <w:tblW w:w="16118" w:type="dxa"/>
        <w:jc w:val="center"/>
        <w:tblLayout w:type="fixed"/>
        <w:tblCellMar>
          <w:top w:w="0" w:type="dxa"/>
          <w:left w:w="108" w:type="dxa"/>
          <w:bottom w:w="0" w:type="dxa"/>
          <w:right w:w="108" w:type="dxa"/>
        </w:tblCellMar>
      </w:tblPr>
      <w:tblGrid>
        <w:gridCol w:w="2737"/>
        <w:gridCol w:w="435"/>
        <w:gridCol w:w="491"/>
        <w:gridCol w:w="280"/>
        <w:gridCol w:w="513"/>
        <w:gridCol w:w="2946"/>
        <w:gridCol w:w="610"/>
        <w:gridCol w:w="1282"/>
        <w:gridCol w:w="746"/>
        <w:gridCol w:w="1323"/>
        <w:gridCol w:w="59"/>
        <w:gridCol w:w="860"/>
        <w:gridCol w:w="1009"/>
        <w:gridCol w:w="349"/>
        <w:gridCol w:w="2478"/>
      </w:tblGrid>
      <w:tr>
        <w:tblPrEx>
          <w:tblCellMar>
            <w:top w:w="0" w:type="dxa"/>
            <w:left w:w="108" w:type="dxa"/>
            <w:bottom w:w="0" w:type="dxa"/>
            <w:right w:w="108" w:type="dxa"/>
          </w:tblCellMar>
        </w:tblPrEx>
        <w:trPr>
          <w:trHeight w:val="454" w:hRule="atLeast"/>
          <w:jc w:val="center"/>
        </w:trPr>
        <w:tc>
          <w:tcPr>
            <w:tcW w:w="16118" w:type="dxa"/>
            <w:gridSpan w:val="15"/>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40"/>
                <w:szCs w:val="40"/>
              </w:rPr>
            </w:pPr>
            <w:r>
              <w:rPr>
                <w:rFonts w:ascii="Times New Roman" w:hAnsi="Times New Roman" w:cs="Times New Roman"/>
                <w:b/>
                <w:bCs/>
                <w:color w:val="000000"/>
                <w:kern w:val="0"/>
                <w:sz w:val="36"/>
                <w:szCs w:val="36"/>
              </w:rPr>
              <w:t>财政拨款收入支出决算总表</w:t>
            </w:r>
          </w:p>
        </w:tc>
      </w:tr>
      <w:tr>
        <w:tblPrEx>
          <w:tblCellMar>
            <w:top w:w="0" w:type="dxa"/>
            <w:left w:w="108" w:type="dxa"/>
            <w:bottom w:w="0" w:type="dxa"/>
            <w:right w:w="108" w:type="dxa"/>
          </w:tblCellMar>
        </w:tblPrEx>
        <w:trPr>
          <w:trHeight w:val="249" w:hRule="exact"/>
          <w:jc w:val="center"/>
        </w:trPr>
        <w:tc>
          <w:tcPr>
            <w:tcW w:w="3663" w:type="dxa"/>
            <w:gridSpan w:val="3"/>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280"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513"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5584" w:type="dxa"/>
            <w:gridSpan w:val="4"/>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1382"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860"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1009"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2827" w:type="dxa"/>
            <w:gridSpan w:val="2"/>
            <w:tcBorders>
              <w:top w:val="nil"/>
              <w:left w:val="nil"/>
              <w:bottom w:val="nil"/>
              <w:right w:val="nil"/>
            </w:tcBorders>
            <w:shd w:val="clear" w:color="auto" w:fill="auto"/>
            <w:vAlign w:val="bottom"/>
          </w:tcPr>
          <w:p>
            <w:pPr>
              <w:widowControl/>
              <w:ind w:firstLine="360" w:firstLineChars="200"/>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公开04表</w:t>
            </w:r>
          </w:p>
        </w:tc>
      </w:tr>
      <w:tr>
        <w:tblPrEx>
          <w:tblCellMar>
            <w:top w:w="0" w:type="dxa"/>
            <w:left w:w="108" w:type="dxa"/>
            <w:bottom w:w="0" w:type="dxa"/>
            <w:right w:w="108" w:type="dxa"/>
          </w:tblCellMar>
        </w:tblPrEx>
        <w:trPr>
          <w:trHeight w:val="249" w:hRule="exact"/>
          <w:jc w:val="center"/>
        </w:trPr>
        <w:tc>
          <w:tcPr>
            <w:tcW w:w="3663" w:type="dxa"/>
            <w:gridSpan w:val="3"/>
            <w:tcBorders>
              <w:top w:val="nil"/>
              <w:left w:val="nil"/>
              <w:bottom w:val="single" w:color="000000" w:sz="6" w:space="0"/>
              <w:right w:val="nil"/>
            </w:tcBorders>
            <w:shd w:val="clear" w:color="auto" w:fill="auto"/>
            <w:vAlign w:val="bottom"/>
          </w:tcPr>
          <w:p>
            <w:pPr>
              <w:widowControl/>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公开部门：</w:t>
            </w:r>
            <w:r>
              <w:rPr>
                <w:rFonts w:hint="eastAsia" w:ascii="Times New Roman" w:hAnsi="Times New Roman" w:cs="Times New Roman"/>
                <w:color w:val="000000"/>
                <w:kern w:val="0"/>
                <w:sz w:val="18"/>
                <w:szCs w:val="18"/>
                <w:lang w:eastAsia="zh-CN"/>
              </w:rPr>
              <w:t>中卫市红十字会</w:t>
            </w:r>
          </w:p>
        </w:tc>
        <w:tc>
          <w:tcPr>
            <w:tcW w:w="280" w:type="dxa"/>
            <w:tcBorders>
              <w:top w:val="nil"/>
              <w:left w:val="nil"/>
              <w:bottom w:val="single" w:color="000000" w:sz="6" w:space="0"/>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513" w:type="dxa"/>
            <w:tcBorders>
              <w:top w:val="nil"/>
              <w:left w:val="nil"/>
              <w:bottom w:val="single" w:color="000000" w:sz="6" w:space="0"/>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5584" w:type="dxa"/>
            <w:gridSpan w:val="4"/>
            <w:tcBorders>
              <w:top w:val="nil"/>
              <w:left w:val="nil"/>
              <w:bottom w:val="single" w:color="000000" w:sz="6" w:space="0"/>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1382" w:type="dxa"/>
            <w:gridSpan w:val="2"/>
            <w:tcBorders>
              <w:top w:val="nil"/>
              <w:left w:val="nil"/>
              <w:bottom w:val="single" w:color="000000" w:sz="6" w:space="0"/>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860" w:type="dxa"/>
            <w:tcBorders>
              <w:top w:val="nil"/>
              <w:left w:val="nil"/>
              <w:bottom w:val="single" w:color="000000" w:sz="6" w:space="0"/>
              <w:right w:val="nil"/>
            </w:tcBorders>
            <w:shd w:val="clear" w:color="auto" w:fill="auto"/>
            <w:vAlign w:val="bottom"/>
          </w:tcPr>
          <w:p>
            <w:pPr>
              <w:widowControl/>
              <w:jc w:val="center"/>
              <w:rPr>
                <w:rFonts w:ascii="Times New Roman" w:hAnsi="Times New Roman" w:cs="Times New Roman"/>
                <w:color w:val="000000"/>
                <w:kern w:val="0"/>
                <w:sz w:val="18"/>
                <w:szCs w:val="18"/>
              </w:rPr>
            </w:pPr>
          </w:p>
        </w:tc>
        <w:tc>
          <w:tcPr>
            <w:tcW w:w="1009" w:type="dxa"/>
            <w:tcBorders>
              <w:top w:val="nil"/>
              <w:left w:val="nil"/>
              <w:bottom w:val="single" w:color="000000" w:sz="6" w:space="0"/>
              <w:right w:val="nil"/>
            </w:tcBorders>
            <w:shd w:val="clear" w:color="auto" w:fill="auto"/>
            <w:vAlign w:val="bottom"/>
          </w:tcPr>
          <w:p>
            <w:pPr>
              <w:widowControl/>
              <w:jc w:val="left"/>
              <w:rPr>
                <w:rFonts w:ascii="Times New Roman" w:hAnsi="Times New Roman" w:cs="Times New Roman"/>
                <w:color w:val="000000"/>
                <w:kern w:val="0"/>
                <w:sz w:val="18"/>
                <w:szCs w:val="18"/>
              </w:rPr>
            </w:pPr>
          </w:p>
        </w:tc>
        <w:tc>
          <w:tcPr>
            <w:tcW w:w="2827" w:type="dxa"/>
            <w:gridSpan w:val="2"/>
            <w:tcBorders>
              <w:top w:val="nil"/>
              <w:left w:val="nil"/>
              <w:bottom w:val="single" w:color="000000" w:sz="6" w:space="0"/>
              <w:right w:val="nil"/>
            </w:tcBorders>
            <w:shd w:val="clear" w:color="auto" w:fill="auto"/>
            <w:vAlign w:val="bottom"/>
          </w:tcPr>
          <w:p>
            <w:pPr>
              <w:widowControl/>
              <w:ind w:firstLine="270" w:firstLineChars="150"/>
              <w:jc w:val="righ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金额单位：元</w:t>
            </w:r>
          </w:p>
        </w:tc>
      </w:tr>
      <w:tr>
        <w:tblPrEx>
          <w:tblCellMar>
            <w:top w:w="0" w:type="dxa"/>
            <w:left w:w="108" w:type="dxa"/>
            <w:bottom w:w="0" w:type="dxa"/>
            <w:right w:w="108" w:type="dxa"/>
          </w:tblCellMar>
        </w:tblPrEx>
        <w:trPr>
          <w:trHeight w:val="249" w:hRule="exact"/>
          <w:jc w:val="center"/>
        </w:trPr>
        <w:tc>
          <w:tcPr>
            <w:tcW w:w="4456"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收     入</w:t>
            </w:r>
          </w:p>
        </w:tc>
        <w:tc>
          <w:tcPr>
            <w:tcW w:w="11662" w:type="dxa"/>
            <w:gridSpan w:val="10"/>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支     出</w:t>
            </w:r>
          </w:p>
        </w:tc>
      </w:tr>
      <w:tr>
        <w:tblPrEx>
          <w:tblCellMar>
            <w:top w:w="0" w:type="dxa"/>
            <w:left w:w="108" w:type="dxa"/>
            <w:bottom w:w="0" w:type="dxa"/>
            <w:right w:w="108" w:type="dxa"/>
          </w:tblCellMar>
        </w:tblPrEx>
        <w:trPr>
          <w:trHeight w:val="249" w:hRule="exact"/>
          <w:jc w:val="center"/>
        </w:trPr>
        <w:tc>
          <w:tcPr>
            <w:tcW w:w="273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项    目</w:t>
            </w:r>
          </w:p>
        </w:tc>
        <w:tc>
          <w:tcPr>
            <w:tcW w:w="43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行次</w:t>
            </w:r>
          </w:p>
        </w:tc>
        <w:tc>
          <w:tcPr>
            <w:tcW w:w="1284" w:type="dxa"/>
            <w:gridSpan w:val="3"/>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决算数</w:t>
            </w:r>
          </w:p>
        </w:tc>
        <w:tc>
          <w:tcPr>
            <w:tcW w:w="2946"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项目</w:t>
            </w:r>
          </w:p>
        </w:tc>
        <w:tc>
          <w:tcPr>
            <w:tcW w:w="61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行次</w:t>
            </w:r>
          </w:p>
        </w:tc>
        <w:tc>
          <w:tcPr>
            <w:tcW w:w="8106" w:type="dxa"/>
            <w:gridSpan w:val="8"/>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决算数</w:t>
            </w:r>
          </w:p>
        </w:tc>
      </w:tr>
      <w:tr>
        <w:tblPrEx>
          <w:tblCellMar>
            <w:top w:w="0" w:type="dxa"/>
            <w:left w:w="108" w:type="dxa"/>
            <w:bottom w:w="0" w:type="dxa"/>
            <w:right w:w="108" w:type="dxa"/>
          </w:tblCellMar>
        </w:tblPrEx>
        <w:trPr>
          <w:trHeight w:val="249" w:hRule="exact"/>
          <w:jc w:val="center"/>
        </w:trPr>
        <w:tc>
          <w:tcPr>
            <w:tcW w:w="273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ascii="Times New Roman" w:hAnsi="Times New Roman" w:cs="Times New Roman"/>
                <w:color w:val="000000"/>
                <w:kern w:val="0"/>
                <w:sz w:val="18"/>
                <w:szCs w:val="18"/>
              </w:rPr>
            </w:pPr>
          </w:p>
        </w:tc>
        <w:tc>
          <w:tcPr>
            <w:tcW w:w="43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ascii="Times New Roman" w:hAnsi="Times New Roman" w:cs="Times New Roman"/>
                <w:color w:val="000000"/>
                <w:kern w:val="0"/>
                <w:sz w:val="18"/>
                <w:szCs w:val="18"/>
              </w:rPr>
            </w:pPr>
          </w:p>
        </w:tc>
        <w:tc>
          <w:tcPr>
            <w:tcW w:w="1284" w:type="dxa"/>
            <w:gridSpan w:val="3"/>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ascii="Times New Roman" w:hAnsi="Times New Roman" w:cs="Times New Roman"/>
                <w:color w:val="000000"/>
                <w:kern w:val="0"/>
                <w:sz w:val="18"/>
                <w:szCs w:val="18"/>
              </w:rPr>
            </w:pPr>
          </w:p>
        </w:tc>
        <w:tc>
          <w:tcPr>
            <w:tcW w:w="2946"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ascii="Times New Roman" w:hAnsi="Times New Roman" w:cs="Times New Roman"/>
                <w:color w:val="000000"/>
                <w:kern w:val="0"/>
                <w:sz w:val="18"/>
                <w:szCs w:val="18"/>
              </w:rPr>
            </w:pPr>
          </w:p>
        </w:tc>
        <w:tc>
          <w:tcPr>
            <w:tcW w:w="61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ascii="Times New Roman" w:hAnsi="Times New Roman" w:cs="Times New Roman"/>
                <w:color w:val="000000"/>
                <w:kern w:val="0"/>
                <w:sz w:val="18"/>
                <w:szCs w:val="18"/>
              </w:rPr>
            </w:pP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合计</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一般公共预算财政拨款</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政府性基金预算财政拨款</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国有资本经营预算财政拨款</w:t>
            </w: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栏    次</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　</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栏    次</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　</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2</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3</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4</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w:t>
            </w: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一、一般公共预算财政拨款</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 xml:space="preserve">1,697,556.81 </w:t>
            </w: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一、一般公共服务支出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33</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二、政府性基金预算财政拨款</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二、外交支出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34</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三、国有资本经营预算财政拨款</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三、国防支出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35</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四、公共安全支出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36</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五、教育支出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37</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六、科学技术支出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38</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七、文化</w:t>
            </w:r>
            <w:r>
              <w:rPr>
                <w:rFonts w:hint="default" w:ascii="Times New Roman" w:hAnsi="Times New Roman" w:cs="Times New Roman"/>
                <w:color w:val="000000"/>
                <w:kern w:val="0"/>
                <w:sz w:val="18"/>
                <w:szCs w:val="18"/>
                <w:lang w:eastAsia="zh-CN"/>
              </w:rPr>
              <w:t>旅游</w:t>
            </w:r>
            <w:r>
              <w:rPr>
                <w:rFonts w:hint="default" w:ascii="Times New Roman" w:hAnsi="Times New Roman" w:cs="Times New Roman"/>
                <w:color w:val="000000"/>
                <w:kern w:val="0"/>
                <w:sz w:val="18"/>
                <w:szCs w:val="18"/>
              </w:rPr>
              <w:t>体育与传媒支出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39</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八、社会保障和就业支出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eastAsia"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val="en-US" w:eastAsia="zh-CN"/>
              </w:rPr>
              <w:t>1</w:t>
            </w:r>
            <w:r>
              <w:rPr>
                <w:rFonts w:hint="default" w:ascii="Times New Roman" w:hAnsi="Times New Roman" w:cs="Times New Roman"/>
                <w:color w:val="000000"/>
                <w:kern w:val="0"/>
                <w:sz w:val="18"/>
                <w:szCs w:val="18"/>
              </w:rPr>
              <w:t>,</w:t>
            </w:r>
            <w:r>
              <w:rPr>
                <w:rFonts w:hint="eastAsia" w:ascii="Times New Roman" w:hAnsi="Times New Roman" w:cs="Times New Roman"/>
                <w:color w:val="000000"/>
                <w:kern w:val="0"/>
                <w:sz w:val="18"/>
                <w:szCs w:val="18"/>
                <w:lang w:val="en-US" w:eastAsia="zh-CN"/>
              </w:rPr>
              <w:t>523</w:t>
            </w:r>
            <w:r>
              <w:rPr>
                <w:rFonts w:hint="default" w:ascii="Times New Roman" w:hAnsi="Times New Roman" w:cs="Times New Roman"/>
                <w:color w:val="000000"/>
                <w:kern w:val="0"/>
                <w:sz w:val="18"/>
                <w:szCs w:val="18"/>
              </w:rPr>
              <w:t>,</w:t>
            </w:r>
            <w:r>
              <w:rPr>
                <w:rFonts w:hint="eastAsia" w:ascii="Times New Roman" w:hAnsi="Times New Roman" w:cs="Times New Roman"/>
                <w:color w:val="000000"/>
                <w:kern w:val="0"/>
                <w:sz w:val="18"/>
                <w:szCs w:val="18"/>
                <w:lang w:val="en-US" w:eastAsia="zh-CN"/>
              </w:rPr>
              <w:t>928.91</w:t>
            </w:r>
          </w:p>
          <w:p>
            <w:pPr>
              <w:widowControl/>
              <w:jc w:val="right"/>
              <w:rPr>
                <w:rFonts w:hint="default" w:ascii="Times New Roman" w:hAnsi="Times New Roman" w:cs="Times New Roman" w:eastAsiaTheme="minorEastAsia"/>
                <w:color w:val="000000"/>
                <w:kern w:val="0"/>
                <w:sz w:val="18"/>
                <w:szCs w:val="18"/>
                <w:lang w:val="en-US" w:eastAsia="zh-CN"/>
              </w:rPr>
            </w:pPr>
            <w:r>
              <w:rPr>
                <w:rFonts w:hint="default" w:ascii="Times New Roman" w:hAnsi="Times New Roman" w:cs="Times New Roman"/>
                <w:color w:val="000000"/>
                <w:kern w:val="0"/>
                <w:sz w:val="18"/>
                <w:szCs w:val="18"/>
              </w:rPr>
              <w:t>55,981.74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eastAsia"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val="en-US" w:eastAsia="zh-CN"/>
              </w:rPr>
              <w:t>1</w:t>
            </w:r>
            <w:r>
              <w:rPr>
                <w:rFonts w:hint="default" w:ascii="Times New Roman" w:hAnsi="Times New Roman" w:cs="Times New Roman"/>
                <w:color w:val="000000"/>
                <w:kern w:val="0"/>
                <w:sz w:val="18"/>
                <w:szCs w:val="18"/>
              </w:rPr>
              <w:t>,</w:t>
            </w:r>
            <w:r>
              <w:rPr>
                <w:rFonts w:hint="eastAsia" w:ascii="Times New Roman" w:hAnsi="Times New Roman" w:cs="Times New Roman"/>
                <w:color w:val="000000"/>
                <w:kern w:val="0"/>
                <w:sz w:val="18"/>
                <w:szCs w:val="18"/>
                <w:lang w:val="en-US" w:eastAsia="zh-CN"/>
              </w:rPr>
              <w:t>523</w:t>
            </w:r>
            <w:r>
              <w:rPr>
                <w:rFonts w:hint="default" w:ascii="Times New Roman" w:hAnsi="Times New Roman" w:cs="Times New Roman"/>
                <w:color w:val="000000"/>
                <w:kern w:val="0"/>
                <w:sz w:val="18"/>
                <w:szCs w:val="18"/>
              </w:rPr>
              <w:t>,</w:t>
            </w:r>
            <w:r>
              <w:rPr>
                <w:rFonts w:hint="eastAsia" w:ascii="Times New Roman" w:hAnsi="Times New Roman" w:cs="Times New Roman"/>
                <w:color w:val="000000"/>
                <w:kern w:val="0"/>
                <w:sz w:val="18"/>
                <w:szCs w:val="18"/>
                <w:lang w:val="en-US" w:eastAsia="zh-CN"/>
              </w:rPr>
              <w:t>928.91</w:t>
            </w:r>
          </w:p>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55,981.74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九、</w:t>
            </w:r>
            <w:r>
              <w:rPr>
                <w:rFonts w:hint="default" w:ascii="Times New Roman" w:hAnsi="Times New Roman" w:cs="Times New Roman"/>
                <w:color w:val="000000"/>
                <w:kern w:val="0"/>
                <w:sz w:val="18"/>
                <w:szCs w:val="18"/>
                <w:lang w:eastAsia="zh-CN"/>
              </w:rPr>
              <w:t>卫生健康</w:t>
            </w:r>
            <w:r>
              <w:rPr>
                <w:rFonts w:hint="default" w:ascii="Times New Roman" w:hAnsi="Times New Roman" w:cs="Times New Roman"/>
                <w:color w:val="000000"/>
                <w:kern w:val="0"/>
                <w:sz w:val="18"/>
                <w:szCs w:val="18"/>
              </w:rPr>
              <w:t>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41</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 xml:space="preserve">50,244.14 </w:t>
            </w: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 xml:space="preserve">50,244.14 </w:t>
            </w: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十、节能环保支出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42</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十一、城乡社区支出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43</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十二、农林水支出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44</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十三、交通运输支出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45</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十四、资源勘探</w:t>
            </w:r>
            <w:r>
              <w:rPr>
                <w:rFonts w:hint="default" w:ascii="Times New Roman" w:hAnsi="Times New Roman" w:cs="Times New Roman"/>
                <w:color w:val="000000"/>
                <w:kern w:val="0"/>
                <w:sz w:val="18"/>
                <w:szCs w:val="18"/>
                <w:lang w:val="en-US" w:eastAsia="zh-CN"/>
              </w:rPr>
              <w:t>工业</w:t>
            </w:r>
            <w:r>
              <w:rPr>
                <w:rFonts w:hint="default" w:ascii="Times New Roman" w:hAnsi="Times New Roman" w:cs="Times New Roman"/>
                <w:color w:val="000000"/>
                <w:kern w:val="0"/>
                <w:sz w:val="18"/>
                <w:szCs w:val="18"/>
              </w:rPr>
              <w:t>信息等支出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46</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十五、商业服务业等支出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47</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16</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十六、金融支出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48</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17</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十七、援助其他地区支出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49</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18</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十八、</w:t>
            </w:r>
            <w:r>
              <w:rPr>
                <w:rFonts w:hint="default" w:ascii="Times New Roman" w:hAnsi="Times New Roman" w:cs="Times New Roman"/>
                <w:color w:val="000000"/>
                <w:kern w:val="0"/>
                <w:sz w:val="18"/>
                <w:szCs w:val="18"/>
                <w:lang w:eastAsia="zh-CN"/>
              </w:rPr>
              <w:t>自然资源</w:t>
            </w:r>
            <w:r>
              <w:rPr>
                <w:rFonts w:hint="default" w:ascii="Times New Roman" w:hAnsi="Times New Roman" w:cs="Times New Roman"/>
                <w:color w:val="000000"/>
                <w:kern w:val="0"/>
                <w:sz w:val="18"/>
                <w:szCs w:val="18"/>
              </w:rPr>
              <w:t>海洋气象等支出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50</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19</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十九、住房保障支出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eastAsia="zh-CN"/>
              </w:rPr>
              <w:t>5</w:t>
            </w:r>
            <w:r>
              <w:rPr>
                <w:rFonts w:hint="default" w:ascii="Times New Roman" w:hAnsi="Times New Roman" w:cs="Times New Roman"/>
                <w:color w:val="000000"/>
                <w:kern w:val="0"/>
                <w:sz w:val="18"/>
                <w:szCs w:val="18"/>
                <w:lang w:val="en-US" w:eastAsia="zh-CN"/>
              </w:rPr>
              <w:t>1</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 xml:space="preserve">123,437.00 </w:t>
            </w: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 xml:space="preserve">123,437.00 </w:t>
            </w: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二十、粮油物资储备支出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rPr>
              <w:t>5</w:t>
            </w:r>
            <w:r>
              <w:rPr>
                <w:rFonts w:hint="default" w:ascii="Times New Roman" w:hAnsi="Times New Roman" w:cs="Times New Roman"/>
                <w:color w:val="000000"/>
                <w:kern w:val="0"/>
                <w:sz w:val="18"/>
                <w:szCs w:val="18"/>
                <w:lang w:val="en-US" w:eastAsia="zh-CN"/>
              </w:rPr>
              <w:t>2</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21</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eastAsia="zh-CN"/>
              </w:rPr>
              <w:t>二十一、国有资本经营预算支出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53</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2</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eastAsia="zh-CN"/>
              </w:rPr>
              <w:t>二十一、灾害防治及应急管理支出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54</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23</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二十</w:t>
            </w:r>
            <w:r>
              <w:rPr>
                <w:rFonts w:hint="default" w:ascii="Times New Roman" w:hAnsi="Times New Roman" w:cs="Times New Roman"/>
                <w:color w:val="000000"/>
                <w:kern w:val="0"/>
                <w:sz w:val="18"/>
                <w:szCs w:val="18"/>
                <w:lang w:eastAsia="zh-CN"/>
              </w:rPr>
              <w:t>二</w:t>
            </w:r>
            <w:r>
              <w:rPr>
                <w:rFonts w:hint="default" w:ascii="Times New Roman" w:hAnsi="Times New Roman" w:cs="Times New Roman"/>
                <w:color w:val="000000"/>
                <w:kern w:val="0"/>
                <w:sz w:val="18"/>
                <w:szCs w:val="18"/>
              </w:rPr>
              <w:t>、其他支出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55</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24</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b/>
                <w:bCs/>
                <w:color w:val="000000"/>
                <w:kern w:val="0"/>
                <w:sz w:val="18"/>
                <w:szCs w:val="18"/>
              </w:rPr>
            </w:pPr>
            <w:r>
              <w:rPr>
                <w:rFonts w:hint="default" w:ascii="Times New Roman" w:hAnsi="Times New Roman" w:cs="Times New Roman"/>
                <w:b w:val="0"/>
                <w:bCs w:val="0"/>
                <w:color w:val="000000"/>
                <w:kern w:val="0"/>
                <w:sz w:val="18"/>
                <w:szCs w:val="18"/>
                <w:lang w:val="en-US" w:eastAsia="zh-CN"/>
              </w:rPr>
              <w:t>二十三、债务还本支出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56</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5</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b/>
                <w:bCs/>
                <w:color w:val="000000"/>
                <w:kern w:val="0"/>
                <w:sz w:val="18"/>
                <w:szCs w:val="18"/>
              </w:rPr>
            </w:pPr>
            <w:r>
              <w:rPr>
                <w:rFonts w:hint="default" w:ascii="Times New Roman" w:hAnsi="Times New Roman" w:cs="Times New Roman"/>
                <w:b w:val="0"/>
                <w:bCs w:val="0"/>
                <w:color w:val="000000"/>
                <w:kern w:val="0"/>
                <w:sz w:val="18"/>
                <w:szCs w:val="18"/>
                <w:lang w:val="en-US" w:eastAsia="zh-CN"/>
              </w:rPr>
              <w:t>二十三、债务付息支出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57</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r>
              <w:rPr>
                <w:rFonts w:hint="default" w:ascii="Times New Roman" w:hAnsi="Times New Roman" w:cs="Times New Roman"/>
                <w:color w:val="000000"/>
                <w:kern w:val="0"/>
                <w:sz w:val="18"/>
                <w:szCs w:val="18"/>
                <w:lang w:val="en-US" w:eastAsia="zh-CN"/>
              </w:rPr>
              <w:t>6</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b w:val="0"/>
                <w:bCs w:val="0"/>
                <w:color w:val="000000"/>
                <w:kern w:val="0"/>
                <w:sz w:val="18"/>
                <w:szCs w:val="18"/>
                <w:lang w:val="en-US" w:eastAsia="zh-CN"/>
              </w:rPr>
              <w:t>二十六、抗疫特别国债安排的支出</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58</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本年收入合计</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27</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 xml:space="preserve">1,697,556.81 </w:t>
            </w: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本年支出合计</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lang w:val="en-US" w:eastAsia="zh-CN"/>
              </w:rPr>
            </w:pPr>
            <w:r>
              <w:rPr>
                <w:rFonts w:hint="default" w:ascii="Times New Roman" w:hAnsi="Times New Roman" w:cs="Times New Roman"/>
                <w:color w:val="000000"/>
                <w:kern w:val="0"/>
                <w:sz w:val="18"/>
                <w:szCs w:val="18"/>
                <w:lang w:val="en-US" w:eastAsia="zh-CN"/>
              </w:rPr>
              <w:t>59</w:t>
            </w:r>
          </w:p>
          <w:p>
            <w:pPr>
              <w:widowControl/>
              <w:jc w:val="center"/>
              <w:rPr>
                <w:rFonts w:hint="default" w:ascii="Times New Roman" w:hAnsi="Times New Roman" w:cs="Times New Roman"/>
                <w:color w:val="000000"/>
                <w:kern w:val="0"/>
                <w:sz w:val="18"/>
                <w:szCs w:val="18"/>
              </w:rPr>
            </w:pP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1,697,610.05</w:t>
            </w: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eastAsia="zh-CN"/>
              </w:rPr>
              <w:t>1,697,610.05</w:t>
            </w: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年初财政拨款结转和结余</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28</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val="en-US" w:eastAsia="zh-CN"/>
              </w:rPr>
              <w:t>79.64</w:t>
            </w: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年末财政拨款结转和结余</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60</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26.40</w:t>
            </w: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26.40</w:t>
            </w: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一、一般公共预算财政拨款</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29</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val="en-US" w:eastAsia="zh-CN"/>
              </w:rPr>
              <w:t>79.64</w:t>
            </w: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61</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二、政府性基金预算财政拨款</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62</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三、国有资本经营预算财政拨款</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31</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left"/>
              <w:rPr>
                <w:rFonts w:hint="default" w:ascii="Times New Roman" w:hAnsi="Times New Roman" w:cs="Times New Roman"/>
                <w:color w:val="000000"/>
                <w:kern w:val="0"/>
                <w:sz w:val="18"/>
                <w:szCs w:val="18"/>
              </w:rPr>
            </w:pP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63</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2737"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合计</w:t>
            </w:r>
          </w:p>
        </w:tc>
        <w:tc>
          <w:tcPr>
            <w:tcW w:w="43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32</w:t>
            </w:r>
          </w:p>
        </w:tc>
        <w:tc>
          <w:tcPr>
            <w:tcW w:w="1284"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eastAsia="zh-CN"/>
              </w:rPr>
              <w:t>1,697,</w:t>
            </w:r>
            <w:r>
              <w:rPr>
                <w:rFonts w:hint="eastAsia" w:ascii="Times New Roman" w:hAnsi="Times New Roman" w:cs="Times New Roman"/>
                <w:color w:val="000000"/>
                <w:kern w:val="0"/>
                <w:sz w:val="18"/>
                <w:szCs w:val="18"/>
                <w:lang w:val="en-US" w:eastAsia="zh-CN"/>
              </w:rPr>
              <w:t>636.45</w:t>
            </w:r>
            <w:r>
              <w:rPr>
                <w:rFonts w:hint="eastAsia" w:ascii="Times New Roman" w:hAnsi="Times New Roman" w:cs="Times New Roman"/>
                <w:color w:val="000000"/>
                <w:kern w:val="0"/>
                <w:sz w:val="18"/>
                <w:szCs w:val="18"/>
                <w:lang w:eastAsia="zh-CN"/>
              </w:rPr>
              <w:t xml:space="preserve"> </w:t>
            </w:r>
            <w:r>
              <w:rPr>
                <w:rFonts w:hint="default" w:ascii="Times New Roman" w:hAnsi="Times New Roman" w:cs="Times New Roman"/>
                <w:color w:val="000000"/>
                <w:kern w:val="0"/>
                <w:sz w:val="18"/>
                <w:szCs w:val="18"/>
              </w:rPr>
              <w:t>　</w:t>
            </w:r>
          </w:p>
        </w:tc>
        <w:tc>
          <w:tcPr>
            <w:tcW w:w="2946"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b/>
                <w:bCs/>
                <w:color w:val="000000"/>
                <w:kern w:val="0"/>
                <w:sz w:val="18"/>
                <w:szCs w:val="18"/>
              </w:rPr>
            </w:pPr>
            <w:r>
              <w:rPr>
                <w:rFonts w:hint="default" w:ascii="Times New Roman" w:hAnsi="Times New Roman" w:cs="Times New Roman"/>
                <w:b/>
                <w:bCs/>
                <w:color w:val="000000"/>
                <w:kern w:val="0"/>
                <w:sz w:val="18"/>
                <w:szCs w:val="18"/>
              </w:rPr>
              <w:t>合计</w:t>
            </w:r>
          </w:p>
        </w:tc>
        <w:tc>
          <w:tcPr>
            <w:tcW w:w="610"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lang w:val="en-US" w:eastAsia="zh-CN"/>
              </w:rPr>
              <w:t>64</w:t>
            </w:r>
          </w:p>
        </w:tc>
        <w:tc>
          <w:tcPr>
            <w:tcW w:w="128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1,697,</w:t>
            </w:r>
            <w:r>
              <w:rPr>
                <w:rFonts w:hint="eastAsia" w:ascii="Times New Roman" w:hAnsi="Times New Roman" w:cs="Times New Roman"/>
                <w:color w:val="000000"/>
                <w:kern w:val="0"/>
                <w:sz w:val="18"/>
                <w:szCs w:val="18"/>
                <w:lang w:val="en-US" w:eastAsia="zh-CN"/>
              </w:rPr>
              <w:t>636.45</w:t>
            </w:r>
            <w:r>
              <w:rPr>
                <w:rFonts w:hint="default" w:ascii="Times New Roman" w:hAnsi="Times New Roman" w:cs="Times New Roman"/>
                <w:color w:val="000000"/>
                <w:kern w:val="0"/>
                <w:sz w:val="18"/>
                <w:szCs w:val="18"/>
              </w:rPr>
              <w:t>　</w:t>
            </w:r>
          </w:p>
        </w:tc>
        <w:tc>
          <w:tcPr>
            <w:tcW w:w="206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eastAsiaTheme="minorEastAsia"/>
                <w:color w:val="000000"/>
                <w:kern w:val="0"/>
                <w:sz w:val="18"/>
                <w:szCs w:val="18"/>
                <w:lang w:eastAsia="zh-CN"/>
              </w:rPr>
            </w:pPr>
            <w:r>
              <w:rPr>
                <w:rFonts w:hint="eastAsia" w:ascii="Times New Roman" w:hAnsi="Times New Roman" w:cs="Times New Roman"/>
                <w:color w:val="000000"/>
                <w:kern w:val="0"/>
                <w:sz w:val="18"/>
                <w:szCs w:val="18"/>
                <w:lang w:eastAsia="zh-CN"/>
              </w:rPr>
              <w:t>1,697,</w:t>
            </w:r>
            <w:r>
              <w:rPr>
                <w:rFonts w:hint="eastAsia" w:ascii="Times New Roman" w:hAnsi="Times New Roman" w:cs="Times New Roman"/>
                <w:color w:val="000000"/>
                <w:kern w:val="0"/>
                <w:sz w:val="18"/>
                <w:szCs w:val="18"/>
                <w:lang w:val="en-US" w:eastAsia="zh-CN"/>
              </w:rPr>
              <w:t>636.45</w:t>
            </w:r>
            <w:r>
              <w:rPr>
                <w:rFonts w:hint="eastAsia" w:ascii="Times New Roman" w:hAnsi="Times New Roman" w:cs="Times New Roman"/>
                <w:color w:val="000000"/>
                <w:kern w:val="0"/>
                <w:sz w:val="18"/>
                <w:szCs w:val="18"/>
                <w:lang w:eastAsia="zh-CN"/>
              </w:rPr>
              <w:t xml:space="preserve"> </w:t>
            </w:r>
            <w:r>
              <w:rPr>
                <w:rFonts w:hint="default" w:ascii="Times New Roman" w:hAnsi="Times New Roman" w:cs="Times New Roman"/>
                <w:color w:val="000000"/>
                <w:kern w:val="0"/>
                <w:sz w:val="18"/>
                <w:szCs w:val="18"/>
              </w:rPr>
              <w:t>　</w:t>
            </w:r>
          </w:p>
        </w:tc>
        <w:tc>
          <w:tcPr>
            <w:tcW w:w="2277" w:type="dxa"/>
            <w:gridSpan w:val="4"/>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w:t>
            </w:r>
          </w:p>
        </w:tc>
        <w:tc>
          <w:tcPr>
            <w:tcW w:w="2478"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jc w:val="right"/>
              <w:rPr>
                <w:rFonts w:hint="default"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249" w:hRule="exact"/>
          <w:jc w:val="center"/>
        </w:trPr>
        <w:tc>
          <w:tcPr>
            <w:tcW w:w="16118" w:type="dxa"/>
            <w:gridSpan w:val="15"/>
            <w:tcBorders>
              <w:top w:val="single" w:color="000000" w:sz="6" w:space="0"/>
              <w:left w:val="nil"/>
              <w:bottom w:val="nil"/>
              <w:right w:val="nil"/>
            </w:tcBorders>
            <w:shd w:val="clear" w:color="auto" w:fill="auto"/>
            <w:vAlign w:val="center"/>
          </w:tcPr>
          <w:p>
            <w:pPr>
              <w:widowControl/>
              <w:jc w:val="left"/>
              <w:rPr>
                <w:rFonts w:hint="eastAsia" w:ascii="Times New Roman" w:hAnsi="Times New Roman" w:cs="Times New Roman" w:eastAsiaTheme="minorEastAsia"/>
                <w:color w:val="000000"/>
                <w:kern w:val="0"/>
                <w:sz w:val="18"/>
                <w:szCs w:val="18"/>
                <w:lang w:eastAsia="zh-CN"/>
              </w:rPr>
            </w:pPr>
            <w:r>
              <w:rPr>
                <w:rFonts w:ascii="Times New Roman" w:hAnsi="Times New Roman" w:cs="Times New Roman"/>
                <w:color w:val="000000"/>
                <w:kern w:val="0"/>
                <w:sz w:val="18"/>
                <w:szCs w:val="18"/>
              </w:rPr>
              <w:t>注：本表反映部门本年度一般公共预算财政拨款、政府性基金预算财政拨款和国有资本经营预算财政拨款的总收支和年末结余结转情况，数据取自财决01-1表</w:t>
            </w:r>
            <w:r>
              <w:rPr>
                <w:rFonts w:hint="eastAsia" w:ascii="Times New Roman" w:hAnsi="Times New Roman" w:cs="Times New Roman"/>
                <w:color w:val="000000"/>
                <w:kern w:val="0"/>
                <w:sz w:val="18"/>
                <w:szCs w:val="18"/>
                <w:lang w:eastAsia="zh-CN"/>
              </w:rPr>
              <w:t>。</w:t>
            </w:r>
          </w:p>
        </w:tc>
      </w:tr>
    </w:tbl>
    <w:p>
      <w:pPr>
        <w:rPr>
          <w:rFonts w:ascii="Times New Roman" w:hAnsi="Times New Roman" w:cs="Times New Roman"/>
        </w:rPr>
      </w:pPr>
    </w:p>
    <w:p>
      <w:pPr>
        <w:spacing w:line="240" w:lineRule="auto"/>
        <w:rPr>
          <w:rFonts w:ascii="Times New Roman" w:hAnsi="Times New Roman" w:cs="Times New Roman"/>
        </w:rPr>
      </w:pPr>
    </w:p>
    <w:tbl>
      <w:tblPr>
        <w:tblStyle w:val="10"/>
        <w:tblW w:w="13477" w:type="dxa"/>
        <w:jc w:val="center"/>
        <w:tblLayout w:type="fixed"/>
        <w:tblCellMar>
          <w:top w:w="0" w:type="dxa"/>
          <w:left w:w="108" w:type="dxa"/>
          <w:bottom w:w="0" w:type="dxa"/>
          <w:right w:w="108" w:type="dxa"/>
        </w:tblCellMar>
      </w:tblPr>
      <w:tblGrid>
        <w:gridCol w:w="854"/>
        <w:gridCol w:w="797"/>
        <w:gridCol w:w="590"/>
        <w:gridCol w:w="230"/>
        <w:gridCol w:w="234"/>
        <w:gridCol w:w="465"/>
        <w:gridCol w:w="3192"/>
        <w:gridCol w:w="2277"/>
        <w:gridCol w:w="2294"/>
        <w:gridCol w:w="2544"/>
      </w:tblGrid>
      <w:tr>
        <w:tblPrEx>
          <w:tblCellMar>
            <w:top w:w="0" w:type="dxa"/>
            <w:left w:w="108" w:type="dxa"/>
            <w:bottom w:w="0" w:type="dxa"/>
            <w:right w:w="108" w:type="dxa"/>
          </w:tblCellMar>
        </w:tblPrEx>
        <w:trPr>
          <w:trHeight w:val="588" w:hRule="atLeast"/>
          <w:jc w:val="center"/>
        </w:trPr>
        <w:tc>
          <w:tcPr>
            <w:tcW w:w="13477" w:type="dxa"/>
            <w:gridSpan w:val="10"/>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44"/>
                <w:szCs w:val="44"/>
              </w:rPr>
            </w:pPr>
            <w:r>
              <w:rPr>
                <w:rFonts w:ascii="Times New Roman" w:hAnsi="Times New Roman" w:cs="Times New Roman"/>
                <w:b/>
                <w:bCs/>
                <w:color w:val="000000"/>
                <w:kern w:val="0"/>
                <w:sz w:val="36"/>
                <w:szCs w:val="36"/>
              </w:rPr>
              <w:t>一般公共预算财政拨款支出决算表</w:t>
            </w:r>
          </w:p>
        </w:tc>
      </w:tr>
      <w:tr>
        <w:tblPrEx>
          <w:tblCellMar>
            <w:top w:w="0" w:type="dxa"/>
            <w:left w:w="108" w:type="dxa"/>
            <w:bottom w:w="0" w:type="dxa"/>
            <w:right w:w="108" w:type="dxa"/>
          </w:tblCellMar>
        </w:tblPrEx>
        <w:trPr>
          <w:trHeight w:val="510" w:hRule="atLeast"/>
          <w:jc w:val="center"/>
        </w:trPr>
        <w:tc>
          <w:tcPr>
            <w:tcW w:w="2241" w:type="dxa"/>
            <w:gridSpan w:val="3"/>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64"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65"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3192"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277"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294"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544" w:type="dxa"/>
            <w:tcBorders>
              <w:top w:val="nil"/>
              <w:left w:val="nil"/>
              <w:bottom w:val="nil"/>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公开05表</w:t>
            </w:r>
          </w:p>
        </w:tc>
      </w:tr>
      <w:tr>
        <w:tblPrEx>
          <w:tblCellMar>
            <w:top w:w="0" w:type="dxa"/>
            <w:left w:w="108" w:type="dxa"/>
            <w:bottom w:w="0" w:type="dxa"/>
            <w:right w:w="108" w:type="dxa"/>
          </w:tblCellMar>
        </w:tblPrEx>
        <w:trPr>
          <w:trHeight w:val="510" w:hRule="atLeast"/>
          <w:jc w:val="center"/>
        </w:trPr>
        <w:tc>
          <w:tcPr>
            <w:tcW w:w="6362" w:type="dxa"/>
            <w:gridSpan w:val="7"/>
            <w:tcBorders>
              <w:top w:val="nil"/>
              <w:left w:val="nil"/>
              <w:bottom w:val="single" w:color="auto" w:sz="4" w:space="0"/>
              <w:right w:val="nil"/>
            </w:tcBorders>
            <w:shd w:val="clear" w:color="auto" w:fill="auto"/>
            <w:vAlign w:val="bottom"/>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公开部门：</w:t>
            </w:r>
            <w:r>
              <w:rPr>
                <w:rFonts w:hint="eastAsia" w:ascii="Times New Roman" w:hAnsi="Times New Roman" w:cs="Times New Roman"/>
                <w:color w:val="000000"/>
                <w:kern w:val="0"/>
                <w:sz w:val="24"/>
                <w:lang w:eastAsia="zh-CN"/>
              </w:rPr>
              <w:t>中卫市红十字会</w:t>
            </w:r>
          </w:p>
        </w:tc>
        <w:tc>
          <w:tcPr>
            <w:tcW w:w="2277" w:type="dxa"/>
            <w:tcBorders>
              <w:top w:val="nil"/>
              <w:left w:val="nil"/>
              <w:bottom w:val="single" w:color="auto" w:sz="4" w:space="0"/>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294" w:type="dxa"/>
            <w:tcBorders>
              <w:top w:val="nil"/>
              <w:left w:val="nil"/>
              <w:bottom w:val="single" w:color="auto" w:sz="4" w:space="0"/>
              <w:right w:val="nil"/>
            </w:tcBorders>
            <w:shd w:val="clear" w:color="auto" w:fill="auto"/>
            <w:vAlign w:val="bottom"/>
          </w:tcPr>
          <w:p>
            <w:pPr>
              <w:widowControl/>
              <w:jc w:val="center"/>
              <w:rPr>
                <w:rFonts w:ascii="Times New Roman" w:hAnsi="Times New Roman" w:cs="Times New Roman"/>
                <w:color w:val="000000"/>
                <w:kern w:val="0"/>
                <w:sz w:val="24"/>
              </w:rPr>
            </w:pPr>
          </w:p>
        </w:tc>
        <w:tc>
          <w:tcPr>
            <w:tcW w:w="2544" w:type="dxa"/>
            <w:tcBorders>
              <w:top w:val="nil"/>
              <w:left w:val="nil"/>
              <w:bottom w:val="single" w:color="auto" w:sz="4" w:space="0"/>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金额单位：元</w:t>
            </w:r>
          </w:p>
        </w:tc>
      </w:tr>
      <w:tr>
        <w:tblPrEx>
          <w:tblCellMar>
            <w:top w:w="0" w:type="dxa"/>
            <w:left w:w="108" w:type="dxa"/>
            <w:bottom w:w="0" w:type="dxa"/>
            <w:right w:w="108" w:type="dxa"/>
          </w:tblCellMar>
        </w:tblPrEx>
        <w:trPr>
          <w:trHeight w:val="357" w:hRule="atLeast"/>
          <w:jc w:val="center"/>
        </w:trPr>
        <w:tc>
          <w:tcPr>
            <w:tcW w:w="636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w:t>
            </w:r>
          </w:p>
        </w:tc>
        <w:tc>
          <w:tcPr>
            <w:tcW w:w="22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本年支出合计</w:t>
            </w:r>
          </w:p>
        </w:tc>
        <w:tc>
          <w:tcPr>
            <w:tcW w:w="22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基本支出</w:t>
            </w:r>
          </w:p>
        </w:tc>
        <w:tc>
          <w:tcPr>
            <w:tcW w:w="25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项目支出</w:t>
            </w: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功能分类科目编码</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科目名称</w:t>
            </w:r>
          </w:p>
        </w:tc>
        <w:tc>
          <w:tcPr>
            <w:tcW w:w="2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229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 w:val="22"/>
                <w:szCs w:val="22"/>
              </w:rPr>
            </w:pPr>
          </w:p>
        </w:tc>
        <w:tc>
          <w:tcPr>
            <w:tcW w:w="254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357" w:hRule="atLeast"/>
          <w:jc w:val="center"/>
        </w:trPr>
        <w:tc>
          <w:tcPr>
            <w:tcW w:w="8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类</w:t>
            </w:r>
          </w:p>
        </w:tc>
        <w:tc>
          <w:tcPr>
            <w:tcW w:w="7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款</w:t>
            </w:r>
          </w:p>
        </w:tc>
        <w:tc>
          <w:tcPr>
            <w:tcW w:w="8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栏次</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2</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3</w:t>
            </w:r>
          </w:p>
        </w:tc>
      </w:tr>
      <w:tr>
        <w:tblPrEx>
          <w:tblCellMar>
            <w:top w:w="0" w:type="dxa"/>
            <w:left w:w="108" w:type="dxa"/>
            <w:bottom w:w="0" w:type="dxa"/>
            <w:right w:w="108" w:type="dxa"/>
          </w:tblCellMar>
        </w:tblPrEx>
        <w:trPr>
          <w:trHeight w:val="357" w:hRule="atLeast"/>
          <w:jc w:val="center"/>
        </w:trPr>
        <w:tc>
          <w:tcPr>
            <w:tcW w:w="8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7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82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合计</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 xml:space="preserve">1,697,610.05 </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1,233,610.05</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464,000.00</w:t>
            </w: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cs="Times New Roman" w:eastAsiaTheme="minorEastAsia"/>
                <w:color w:val="000000"/>
                <w:kern w:val="0"/>
                <w:sz w:val="22"/>
                <w:szCs w:val="22"/>
                <w:lang w:val="en-US" w:eastAsia="zh-CN"/>
              </w:rPr>
            </w:pPr>
            <w:r>
              <w:rPr>
                <w:rFonts w:hint="eastAsia" w:ascii="Times New Roman" w:hAnsi="Times New Roman" w:eastAsia="宋体" w:cs="Times New Roman"/>
                <w:i w:val="0"/>
                <w:color w:val="000000"/>
                <w:kern w:val="0"/>
                <w:sz w:val="22"/>
                <w:szCs w:val="22"/>
                <w:u w:val="none"/>
                <w:lang w:val="en-US" w:eastAsia="zh-CN" w:bidi="ar"/>
              </w:rPr>
              <w:t>208</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cs="Times New Roman"/>
                <w:color w:val="000000"/>
                <w:kern w:val="0"/>
                <w:sz w:val="22"/>
                <w:szCs w:val="22"/>
              </w:rPr>
            </w:pPr>
            <w:r>
              <w:rPr>
                <w:rFonts w:hint="eastAsia" w:ascii="Times New Roman" w:hAnsi="Times New Roman" w:eastAsia="宋体" w:cs="Times New Roman"/>
                <w:i w:val="0"/>
                <w:color w:val="000000"/>
                <w:kern w:val="0"/>
                <w:sz w:val="22"/>
                <w:szCs w:val="22"/>
                <w:u w:val="none"/>
                <w:lang w:val="en-US" w:eastAsia="zh-CN" w:bidi="ar"/>
              </w:rPr>
              <w:t>社会保障和就业支出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1,523,928.91</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1,059,928.91</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464,000.00</w:t>
            </w: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cs="Times New Roman" w:eastAsiaTheme="minorEastAsia"/>
                <w:color w:val="000000"/>
                <w:kern w:val="0"/>
                <w:sz w:val="22"/>
                <w:szCs w:val="22"/>
                <w:lang w:val="en-US" w:eastAsia="zh-CN"/>
              </w:rPr>
            </w:pPr>
            <w:r>
              <w:rPr>
                <w:rFonts w:hint="eastAsia" w:ascii="Times New Roman" w:hAnsi="Times New Roman" w:eastAsia="宋体" w:cs="Times New Roman"/>
                <w:i w:val="0"/>
                <w:color w:val="000000"/>
                <w:kern w:val="0"/>
                <w:sz w:val="22"/>
                <w:szCs w:val="22"/>
                <w:u w:val="none"/>
                <w:lang w:val="en-US" w:eastAsia="zh-CN" w:bidi="ar"/>
              </w:rPr>
              <w:t>20805</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cs="Times New Roman"/>
                <w:color w:val="000000"/>
                <w:kern w:val="0"/>
                <w:sz w:val="22"/>
                <w:szCs w:val="22"/>
              </w:rPr>
            </w:pPr>
            <w:r>
              <w:rPr>
                <w:rFonts w:hint="eastAsia" w:ascii="Times New Roman" w:hAnsi="Times New Roman" w:eastAsia="宋体" w:cs="Times New Roman"/>
                <w:i w:val="0"/>
                <w:color w:val="000000"/>
                <w:kern w:val="0"/>
                <w:sz w:val="22"/>
                <w:szCs w:val="22"/>
                <w:u w:val="none"/>
                <w:lang w:val="en-US" w:eastAsia="zh-CN" w:bidi="ar"/>
              </w:rPr>
              <w:t>行政事业单位养老支出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228,124.91</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228,124.91</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2080501</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行政单位离退休</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40,441.32</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40,441.32</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2080505</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机关事业单位基本养老保险缴费支出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94,216.02 </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 xml:space="preserve">94,216.02 </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2080506</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机关事业单位职业年金缴费支出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93,467.57 </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 xml:space="preserve">93,467.57 </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201816</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红十字事业</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1,295,804.00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831,804.00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464,000.00</w:t>
            </w: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2081601</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行政运行</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831,804.00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831,804.00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lang w:val="en-US" w:eastAsia="zh-CN"/>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2081602</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一般行政管理事务</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227,000.00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227,000.00</w:t>
            </w: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2081699</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其他红十字事业支出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237,000.00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237,000.00</w:t>
            </w: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210</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卫生健康支出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50,244.14</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50,244.14</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21011</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行政事业单位医疗</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50,244.14</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50,244.14</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2101101</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行政单位医疗</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40,176.24 </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 xml:space="preserve">40,176.24 </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2101103</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公务员医疗补助</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eastAsia="zh-CN"/>
              </w:rPr>
            </w:pPr>
            <w:r>
              <w:rPr>
                <w:rFonts w:hint="eastAsia" w:ascii="Times New Roman" w:hAnsi="Times New Roman" w:eastAsia="宋体" w:cs="Times New Roman"/>
                <w:i w:val="0"/>
                <w:color w:val="000000"/>
                <w:kern w:val="0"/>
                <w:sz w:val="22"/>
                <w:szCs w:val="22"/>
                <w:u w:val="none"/>
                <w:lang w:val="en-US" w:eastAsia="zh-CN" w:bidi="ar"/>
              </w:rPr>
              <w:t>10,067.90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rPr>
            </w:pPr>
            <w:r>
              <w:rPr>
                <w:rFonts w:hint="eastAsia" w:ascii="Times New Roman" w:hAnsi="Times New Roman" w:eastAsia="宋体" w:cs="Times New Roman"/>
                <w:i w:val="0"/>
                <w:color w:val="000000"/>
                <w:kern w:val="0"/>
                <w:sz w:val="22"/>
                <w:szCs w:val="22"/>
                <w:u w:val="none"/>
                <w:lang w:val="en-US" w:eastAsia="zh-CN" w:bidi="ar"/>
              </w:rPr>
              <w:t>10,067.90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221</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住房保障支出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22103</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住房改革支出</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123,437.00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2210201</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住房公积金</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89,177.00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89,177.00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57" w:hRule="atLeast"/>
          <w:jc w:val="center"/>
        </w:trPr>
        <w:tc>
          <w:tcPr>
            <w:tcW w:w="24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2210203</w:t>
            </w:r>
          </w:p>
        </w:tc>
        <w:tc>
          <w:tcPr>
            <w:tcW w:w="38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购房补贴</w:t>
            </w:r>
          </w:p>
        </w:tc>
        <w:tc>
          <w:tcPr>
            <w:tcW w:w="2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eastAsia="zh-CN"/>
              </w:rPr>
            </w:pPr>
            <w:r>
              <w:rPr>
                <w:rFonts w:hint="eastAsia" w:ascii="Times New Roman" w:hAnsi="Times New Roman" w:eastAsia="宋体" w:cs="Times New Roman"/>
                <w:i w:val="0"/>
                <w:color w:val="000000"/>
                <w:kern w:val="0"/>
                <w:sz w:val="22"/>
                <w:szCs w:val="22"/>
                <w:u w:val="none"/>
                <w:lang w:val="en-US" w:eastAsia="zh-CN" w:bidi="ar"/>
              </w:rPr>
              <w:t>34,260.00</w:t>
            </w:r>
          </w:p>
        </w:tc>
        <w:tc>
          <w:tcPr>
            <w:tcW w:w="22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color w:val="000000"/>
                <w:kern w:val="0"/>
                <w:sz w:val="18"/>
                <w:szCs w:val="18"/>
                <w:lang w:val="en-US"/>
              </w:rPr>
            </w:pPr>
            <w:r>
              <w:rPr>
                <w:rFonts w:hint="eastAsia" w:ascii="Times New Roman" w:hAnsi="Times New Roman" w:eastAsia="宋体" w:cs="Times New Roman"/>
                <w:i w:val="0"/>
                <w:color w:val="000000"/>
                <w:kern w:val="0"/>
                <w:sz w:val="22"/>
                <w:szCs w:val="22"/>
                <w:u w:val="none"/>
                <w:lang w:val="en-US" w:eastAsia="zh-CN" w:bidi="ar"/>
              </w:rPr>
              <w:t>34,260.00</w:t>
            </w:r>
          </w:p>
        </w:tc>
        <w:tc>
          <w:tcPr>
            <w:tcW w:w="254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default" w:ascii="Times New Roman" w:hAnsi="Times New Roman" w:cs="Times New Roman" w:eastAsiaTheme="majorEastAsia"/>
                <w:color w:val="000000"/>
                <w:kern w:val="0"/>
                <w:sz w:val="18"/>
                <w:szCs w:val="18"/>
              </w:rPr>
            </w:pPr>
          </w:p>
        </w:tc>
      </w:tr>
      <w:tr>
        <w:tblPrEx>
          <w:tblCellMar>
            <w:top w:w="0" w:type="dxa"/>
            <w:left w:w="108" w:type="dxa"/>
            <w:bottom w:w="0" w:type="dxa"/>
            <w:right w:w="108" w:type="dxa"/>
          </w:tblCellMar>
        </w:tblPrEx>
        <w:trPr>
          <w:trHeight w:val="397" w:hRule="exact"/>
          <w:jc w:val="center"/>
        </w:trPr>
        <w:tc>
          <w:tcPr>
            <w:tcW w:w="13477" w:type="dxa"/>
            <w:gridSpan w:val="10"/>
            <w:tcBorders>
              <w:top w:val="single" w:color="auto" w:sz="4" w:space="0"/>
              <w:left w:val="nil"/>
              <w:bottom w:val="nil"/>
              <w:right w:val="nil"/>
            </w:tcBorders>
            <w:shd w:val="clear" w:color="auto" w:fill="auto"/>
            <w:vAlign w:val="bottom"/>
          </w:tcPr>
          <w:p>
            <w:pPr>
              <w:widowControl/>
              <w:jc w:val="left"/>
              <w:rPr>
                <w:rFonts w:hint="eastAsia" w:ascii="Times New Roman" w:hAnsi="Times New Roman" w:cs="Times New Roman" w:eastAsiaTheme="minorEastAsia"/>
                <w:color w:val="000000"/>
                <w:kern w:val="0"/>
                <w:sz w:val="22"/>
                <w:szCs w:val="22"/>
                <w:lang w:eastAsia="zh-CN"/>
              </w:rPr>
            </w:pPr>
            <w:r>
              <w:rPr>
                <w:rFonts w:ascii="Times New Roman" w:hAnsi="Times New Roman" w:cs="Times New Roman"/>
                <w:color w:val="000000"/>
                <w:kern w:val="0"/>
                <w:sz w:val="22"/>
                <w:szCs w:val="22"/>
              </w:rPr>
              <w:t>注：本表反映部门本年度一般公共预算财政拨款实际支出情况，数据取自财决07表</w:t>
            </w:r>
            <w:r>
              <w:rPr>
                <w:rFonts w:hint="eastAsia" w:ascii="Times New Roman" w:hAnsi="Times New Roman" w:cs="Times New Roman"/>
                <w:color w:val="000000"/>
                <w:kern w:val="0"/>
                <w:sz w:val="22"/>
                <w:szCs w:val="22"/>
                <w:lang w:eastAsia="zh-CN"/>
              </w:rPr>
              <w:t>。</w:t>
            </w:r>
          </w:p>
        </w:tc>
      </w:tr>
    </w:tbl>
    <w:tbl>
      <w:tblPr>
        <w:tblStyle w:val="10"/>
        <w:tblpPr w:leftFromText="180" w:rightFromText="180" w:vertAnchor="text" w:horzAnchor="page" w:tblpX="1406" w:tblpY="-721"/>
        <w:tblOverlap w:val="never"/>
        <w:tblW w:w="13880" w:type="dxa"/>
        <w:tblInd w:w="0" w:type="dxa"/>
        <w:tblLayout w:type="fixed"/>
        <w:tblCellMar>
          <w:top w:w="0" w:type="dxa"/>
          <w:left w:w="0" w:type="dxa"/>
          <w:bottom w:w="0" w:type="dxa"/>
          <w:right w:w="0" w:type="dxa"/>
        </w:tblCellMar>
      </w:tblPr>
      <w:tblGrid>
        <w:gridCol w:w="948"/>
        <w:gridCol w:w="2440"/>
        <w:gridCol w:w="1166"/>
        <w:gridCol w:w="442"/>
        <w:gridCol w:w="531"/>
        <w:gridCol w:w="1947"/>
        <w:gridCol w:w="1226"/>
        <w:gridCol w:w="901"/>
        <w:gridCol w:w="2843"/>
        <w:gridCol w:w="390"/>
        <w:gridCol w:w="1046"/>
      </w:tblGrid>
      <w:tr>
        <w:tblPrEx>
          <w:tblCellMar>
            <w:top w:w="0" w:type="dxa"/>
            <w:left w:w="0" w:type="dxa"/>
            <w:bottom w:w="0" w:type="dxa"/>
            <w:right w:w="0" w:type="dxa"/>
          </w:tblCellMar>
        </w:tblPrEx>
        <w:trPr>
          <w:cantSplit/>
          <w:trHeight w:val="900" w:hRule="exact"/>
        </w:trPr>
        <w:tc>
          <w:tcPr>
            <w:tcW w:w="13880" w:type="dxa"/>
            <w:gridSpan w:val="11"/>
            <w:tcBorders>
              <w:top w:val="nil"/>
              <w:left w:val="nil"/>
              <w:bottom w:val="nil"/>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华文中宋" w:cs="Times New Roman"/>
                <w:color w:val="000000"/>
                <w:sz w:val="32"/>
                <w:szCs w:val="32"/>
              </w:rPr>
            </w:pPr>
            <w:r>
              <w:rPr>
                <w:rFonts w:ascii="Times New Roman" w:hAnsi="Times New Roman" w:cs="Times New Roman"/>
                <w:b/>
                <w:bCs/>
                <w:color w:val="000000"/>
                <w:kern w:val="0"/>
                <w:sz w:val="28"/>
                <w:szCs w:val="28"/>
              </w:rPr>
              <w:t>一般公共预算财政拨款基本支出决算表</w:t>
            </w:r>
          </w:p>
        </w:tc>
      </w:tr>
      <w:tr>
        <w:tblPrEx>
          <w:tblCellMar>
            <w:top w:w="0" w:type="dxa"/>
            <w:left w:w="0" w:type="dxa"/>
            <w:bottom w:w="0" w:type="dxa"/>
            <w:right w:w="0" w:type="dxa"/>
          </w:tblCellMar>
        </w:tblPrEx>
        <w:trPr>
          <w:cantSplit/>
          <w:trHeight w:val="255" w:hRule="exact"/>
        </w:trPr>
        <w:tc>
          <w:tcPr>
            <w:tcW w:w="4996" w:type="dxa"/>
            <w:gridSpan w:val="4"/>
            <w:tcBorders>
              <w:top w:val="nil"/>
              <w:left w:val="nil"/>
              <w:bottom w:val="nil"/>
              <w:right w:val="nil"/>
            </w:tcBorders>
            <w:shd w:val="clear" w:color="auto" w:fill="FFFFFF"/>
            <w:tcMar>
              <w:top w:w="12" w:type="dxa"/>
              <w:left w:w="12" w:type="dxa"/>
              <w:right w:w="12" w:type="dxa"/>
            </w:tcMar>
            <w:vAlign w:val="center"/>
          </w:tcPr>
          <w:p>
            <w:pPr>
              <w:jc w:val="center"/>
              <w:rPr>
                <w:rFonts w:ascii="Times New Roman" w:hAnsi="Times New Roman" w:eastAsia="宋体" w:cs="Times New Roman"/>
                <w:szCs w:val="21"/>
              </w:rPr>
            </w:pPr>
          </w:p>
        </w:tc>
        <w:tc>
          <w:tcPr>
            <w:tcW w:w="7448" w:type="dxa"/>
            <w:gridSpan w:val="5"/>
            <w:tcBorders>
              <w:top w:val="nil"/>
              <w:left w:val="nil"/>
              <w:bottom w:val="nil"/>
              <w:right w:val="nil"/>
            </w:tcBorders>
            <w:shd w:val="clear" w:color="auto" w:fill="FFFFFF"/>
            <w:tcMar>
              <w:top w:w="12" w:type="dxa"/>
              <w:left w:w="12" w:type="dxa"/>
              <w:right w:w="12" w:type="dxa"/>
            </w:tcMar>
            <w:vAlign w:val="center"/>
          </w:tcPr>
          <w:p>
            <w:pPr>
              <w:rPr>
                <w:rFonts w:ascii="Times New Roman" w:hAnsi="Times New Roman" w:eastAsia="宋体" w:cs="Times New Roman"/>
                <w:szCs w:val="21"/>
              </w:rPr>
            </w:pPr>
          </w:p>
        </w:tc>
        <w:tc>
          <w:tcPr>
            <w:tcW w:w="1436" w:type="dxa"/>
            <w:gridSpan w:val="2"/>
            <w:tcBorders>
              <w:top w:val="nil"/>
              <w:left w:val="nil"/>
              <w:bottom w:val="nil"/>
              <w:right w:val="nil"/>
            </w:tcBorders>
            <w:shd w:val="clear" w:color="auto" w:fill="FFFFFF"/>
            <w:tcMar>
              <w:top w:w="12" w:type="dxa"/>
              <w:left w:w="12" w:type="dxa"/>
              <w:right w:w="12" w:type="dxa"/>
            </w:tcMar>
            <w:vAlign w:val="center"/>
          </w:tcPr>
          <w:p>
            <w:pPr>
              <w:widowControl/>
              <w:spacing w:line="300" w:lineRule="exact"/>
              <w:jc w:val="righ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公开06表</w:t>
            </w:r>
          </w:p>
        </w:tc>
      </w:tr>
      <w:tr>
        <w:tblPrEx>
          <w:tblCellMar>
            <w:top w:w="0" w:type="dxa"/>
            <w:left w:w="0" w:type="dxa"/>
            <w:bottom w:w="0" w:type="dxa"/>
            <w:right w:w="0" w:type="dxa"/>
          </w:tblCellMar>
        </w:tblPrEx>
        <w:trPr>
          <w:cantSplit/>
          <w:trHeight w:val="283" w:hRule="exact"/>
        </w:trPr>
        <w:tc>
          <w:tcPr>
            <w:tcW w:w="4554" w:type="dxa"/>
            <w:gridSpan w:val="3"/>
            <w:tcBorders>
              <w:top w:val="nil"/>
              <w:left w:val="nil"/>
              <w:bottom w:val="nil"/>
              <w:right w:val="nil"/>
            </w:tcBorders>
            <w:shd w:val="clear" w:color="auto" w:fill="auto"/>
            <w:tcMar>
              <w:top w:w="12" w:type="dxa"/>
              <w:left w:w="12" w:type="dxa"/>
              <w:right w:w="12" w:type="dxa"/>
            </w:tcMar>
            <w:vAlign w:val="center"/>
          </w:tcPr>
          <w:p>
            <w:pPr>
              <w:widowControl/>
              <w:jc w:val="left"/>
              <w:textAlignment w:val="center"/>
              <w:rPr>
                <w:rFonts w:ascii="Times New Roman" w:hAnsi="Times New Roman" w:eastAsia="宋体" w:cs="Times New Roman"/>
                <w:color w:val="000000"/>
                <w:sz w:val="18"/>
                <w:szCs w:val="18"/>
              </w:rPr>
            </w:pPr>
            <w:r>
              <w:rPr>
                <w:rFonts w:ascii="Times New Roman" w:hAnsi="Times New Roman" w:cs="Times New Roman"/>
                <w:color w:val="000000"/>
                <w:kern w:val="0"/>
                <w:sz w:val="18"/>
                <w:szCs w:val="18"/>
              </w:rPr>
              <w:t>公开部门：</w:t>
            </w:r>
            <w:r>
              <w:rPr>
                <w:rFonts w:hint="eastAsia" w:ascii="Times New Roman" w:hAnsi="Times New Roman" w:cs="Times New Roman"/>
                <w:color w:val="000000"/>
                <w:kern w:val="0"/>
                <w:sz w:val="18"/>
                <w:szCs w:val="18"/>
                <w:lang w:eastAsia="zh-CN"/>
              </w:rPr>
              <w:t>中卫市红十字会</w:t>
            </w:r>
          </w:p>
        </w:tc>
        <w:tc>
          <w:tcPr>
            <w:tcW w:w="7890" w:type="dxa"/>
            <w:gridSpan w:val="6"/>
            <w:tcBorders>
              <w:top w:val="nil"/>
              <w:left w:val="nil"/>
              <w:bottom w:val="nil"/>
              <w:right w:val="nil"/>
            </w:tcBorders>
            <w:shd w:val="clear" w:color="auto" w:fill="auto"/>
            <w:tcMar>
              <w:top w:w="12" w:type="dxa"/>
              <w:left w:w="12" w:type="dxa"/>
              <w:right w:w="12" w:type="dxa"/>
            </w:tcMar>
            <w:vAlign w:val="center"/>
          </w:tcPr>
          <w:p>
            <w:pPr>
              <w:rPr>
                <w:rFonts w:ascii="Times New Roman" w:hAnsi="Times New Roman" w:eastAsia="宋体" w:cs="Times New Roman"/>
                <w:color w:val="000000"/>
                <w:sz w:val="18"/>
                <w:szCs w:val="18"/>
              </w:rPr>
            </w:pPr>
          </w:p>
        </w:tc>
        <w:tc>
          <w:tcPr>
            <w:tcW w:w="1436" w:type="dxa"/>
            <w:gridSpan w:val="2"/>
            <w:tcBorders>
              <w:top w:val="nil"/>
              <w:left w:val="nil"/>
              <w:bottom w:val="nil"/>
              <w:right w:val="nil"/>
            </w:tcBorders>
            <w:shd w:val="clear" w:color="auto" w:fill="auto"/>
            <w:tcMar>
              <w:top w:w="12" w:type="dxa"/>
              <w:left w:w="12" w:type="dxa"/>
              <w:right w:w="12" w:type="dxa"/>
            </w:tcMar>
            <w:vAlign w:val="center"/>
          </w:tcPr>
          <w:p>
            <w:pPr>
              <w:widowControl/>
              <w:jc w:val="righ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金额单位：元</w:t>
            </w:r>
            <w:r>
              <w:rPr>
                <w:rFonts w:ascii="Times New Roman" w:hAnsi="Times New Roman" w:eastAsia="宋体" w:cs="Times New Roman"/>
                <w:vanish/>
                <w:color w:val="000000"/>
                <w:kern w:val="0"/>
                <w:sz w:val="18"/>
                <w:szCs w:val="18"/>
                <w:lang w:bidi="ar"/>
              </w:rPr>
              <w:t>元</w:t>
            </w:r>
          </w:p>
        </w:tc>
      </w:tr>
      <w:tr>
        <w:tblPrEx>
          <w:tblCellMar>
            <w:top w:w="0" w:type="dxa"/>
            <w:left w:w="0" w:type="dxa"/>
            <w:bottom w:w="0" w:type="dxa"/>
            <w:right w:w="0" w:type="dxa"/>
          </w:tblCellMar>
        </w:tblPrEx>
        <w:trPr>
          <w:cantSplit/>
          <w:trHeight w:val="283" w:hRule="exact"/>
        </w:trPr>
        <w:tc>
          <w:tcPr>
            <w:tcW w:w="4554" w:type="dxa"/>
            <w:gridSpan w:val="3"/>
            <w:tcBorders>
              <w:top w:val="single" w:color="auto" w:sz="8" w:space="0"/>
              <w:left w:val="single" w:color="auto" w:sz="8"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人员经费</w:t>
            </w:r>
          </w:p>
        </w:tc>
        <w:tc>
          <w:tcPr>
            <w:tcW w:w="9326" w:type="dxa"/>
            <w:gridSpan w:val="8"/>
            <w:tcBorders>
              <w:top w:val="single" w:color="auto" w:sz="8" w:space="0"/>
              <w:left w:val="single" w:color="auto" w:sz="4" w:space="0"/>
              <w:bottom w:val="single" w:color="auto" w:sz="4" w:space="0"/>
              <w:right w:val="single" w:color="auto" w:sz="8"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公用经费</w:t>
            </w: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kern w:val="0"/>
                <w:sz w:val="11"/>
                <w:szCs w:val="11"/>
                <w:lang w:bidi="ar"/>
              </w:rPr>
            </w:pPr>
            <w:r>
              <w:rPr>
                <w:rFonts w:ascii="Times New Roman" w:hAnsi="Times New Roman" w:eastAsia="宋体" w:cs="Times New Roman"/>
                <w:color w:val="000000"/>
                <w:kern w:val="0"/>
                <w:sz w:val="11"/>
                <w:szCs w:val="11"/>
                <w:lang w:bidi="ar"/>
              </w:rPr>
              <w:t>科目编码</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kern w:val="0"/>
                <w:sz w:val="11"/>
                <w:szCs w:val="11"/>
                <w:lang w:bidi="ar"/>
              </w:rPr>
            </w:pPr>
            <w:r>
              <w:rPr>
                <w:rFonts w:ascii="Times New Roman" w:hAnsi="Times New Roman" w:eastAsia="宋体" w:cs="Times New Roman"/>
                <w:color w:val="000000"/>
                <w:kern w:val="0"/>
                <w:sz w:val="11"/>
                <w:szCs w:val="11"/>
                <w:lang w:bidi="ar"/>
              </w:rPr>
              <w:t>科目名称</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金额</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kern w:val="0"/>
                <w:sz w:val="11"/>
                <w:szCs w:val="11"/>
                <w:lang w:bidi="ar"/>
              </w:rPr>
            </w:pPr>
            <w:r>
              <w:rPr>
                <w:rFonts w:ascii="Times New Roman" w:hAnsi="Times New Roman" w:eastAsia="宋体" w:cs="Times New Roman"/>
                <w:color w:val="000000"/>
                <w:kern w:val="0"/>
                <w:sz w:val="11"/>
                <w:szCs w:val="11"/>
                <w:lang w:bidi="ar"/>
              </w:rPr>
              <w:t>科目编码</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kern w:val="0"/>
                <w:sz w:val="11"/>
                <w:szCs w:val="11"/>
                <w:lang w:bidi="ar"/>
              </w:rPr>
            </w:pPr>
            <w:r>
              <w:rPr>
                <w:rFonts w:ascii="Times New Roman" w:hAnsi="Times New Roman" w:eastAsia="宋体" w:cs="Times New Roman"/>
                <w:color w:val="000000"/>
                <w:kern w:val="0"/>
                <w:sz w:val="11"/>
                <w:szCs w:val="11"/>
                <w:lang w:bidi="ar"/>
              </w:rPr>
              <w:t>科目名称</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金额</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kern w:val="0"/>
                <w:sz w:val="11"/>
                <w:szCs w:val="11"/>
                <w:lang w:bidi="ar"/>
              </w:rPr>
            </w:pPr>
            <w:r>
              <w:rPr>
                <w:rFonts w:ascii="Times New Roman" w:hAnsi="Times New Roman" w:eastAsia="宋体" w:cs="Times New Roman"/>
                <w:color w:val="000000"/>
                <w:kern w:val="0"/>
                <w:sz w:val="11"/>
                <w:szCs w:val="11"/>
                <w:lang w:bidi="ar"/>
              </w:rPr>
              <w:t>科目编码</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kern w:val="0"/>
                <w:sz w:val="11"/>
                <w:szCs w:val="11"/>
                <w:lang w:bidi="ar"/>
              </w:rPr>
            </w:pPr>
            <w:r>
              <w:rPr>
                <w:rFonts w:ascii="Times New Roman" w:hAnsi="Times New Roman" w:eastAsia="宋体" w:cs="Times New Roman"/>
                <w:color w:val="000000"/>
                <w:kern w:val="0"/>
                <w:sz w:val="11"/>
                <w:szCs w:val="11"/>
                <w:lang w:bidi="ar"/>
              </w:rPr>
              <w:t>科目名称</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tcPr>
          <w:p>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sz w:val="11"/>
                <w:szCs w:val="11"/>
              </w:rPr>
              <w:t>金额</w:t>
            </w: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工资福利支出</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1,098,808.73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商品和服务支出</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91,960.00 </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307</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债务利息及费用支出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30101</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基本工资</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307,917.00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30201</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办公费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12,953.89 </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30701</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国内债务付息</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30102</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津贴补贴</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436,090.00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30202</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印刷费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30702</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国外债务付息</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30103</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奖金</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25,244.00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30203</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咨询费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310</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资本性支出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rPr>
              <w:t>3,900.00</w:t>
            </w: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30106</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伙食补助费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i w:val="0"/>
                <w:color w:val="000000"/>
                <w:sz w:val="15"/>
                <w:szCs w:val="15"/>
                <w:u w:val="none"/>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30204</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手续费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267.45 </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31001</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房屋建筑物购建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30107</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绩效工资</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i w:val="0"/>
                <w:color w:val="000000"/>
                <w:sz w:val="15"/>
                <w:szCs w:val="15"/>
                <w:u w:val="none"/>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30205</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水费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31002</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办公设备购置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rPr>
              <w:t>3,900.00</w:t>
            </w: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30108</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机关事业单位基本养老保险缴费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eastAsia"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94,216.02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30206</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电费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31003</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专用设备购置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30109</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职业年金缴费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eastAsia"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93,467.57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30207</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邮电费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31005</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基础设施建设</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30110</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职工基本医疗保险缴费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eastAsia" w:ascii="Times New Roman" w:hAnsi="Times New Roman" w:eastAsia="宋体" w:cs="Times New Roman"/>
                <w:color w:val="000000"/>
                <w:sz w:val="11"/>
                <w:szCs w:val="11"/>
                <w:lang w:val="en-US" w:eastAsia="zh-CN"/>
              </w:rPr>
            </w:pPr>
            <w:r>
              <w:rPr>
                <w:rFonts w:hint="eastAsia" w:ascii="Times New Roman" w:hAnsi="Times New Roman" w:eastAsia="宋体" w:cs="Times New Roman"/>
                <w:i w:val="0"/>
                <w:color w:val="000000"/>
                <w:sz w:val="15"/>
                <w:szCs w:val="15"/>
                <w:u w:val="none"/>
                <w:lang w:eastAsia="zh-CN"/>
              </w:rPr>
              <w:t xml:space="preserve">40,176.24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30208</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取暖费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31006</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大型修缮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30111</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公务员医疗补助缴费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eastAsia" w:ascii="Times New Roman" w:hAnsi="Times New Roman" w:eastAsia="宋体" w:cs="Times New Roman"/>
                <w:color w:val="000000"/>
                <w:sz w:val="11"/>
                <w:szCs w:val="11"/>
                <w:lang w:val="en-US" w:eastAsia="zh-CN"/>
              </w:rPr>
            </w:pPr>
            <w:r>
              <w:rPr>
                <w:rFonts w:hint="eastAsia" w:ascii="Times New Roman" w:hAnsi="Times New Roman" w:eastAsia="宋体" w:cs="Times New Roman"/>
                <w:i w:val="0"/>
                <w:color w:val="000000"/>
                <w:sz w:val="15"/>
                <w:szCs w:val="15"/>
                <w:u w:val="none"/>
                <w:lang w:eastAsia="zh-CN"/>
              </w:rPr>
              <w:t>10,067.90</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30209</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物业管理费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31007</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信息网络及软件购置更新</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30112</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其他社会保障缴费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color w:val="000000"/>
                <w:sz w:val="11"/>
                <w:szCs w:val="11"/>
                <w:lang w:val="en-US" w:eastAsia="zh-CN"/>
              </w:rPr>
            </w:pPr>
            <w:r>
              <w:rPr>
                <w:rFonts w:hint="eastAsia" w:ascii="宋体" w:hAnsi="宋体" w:eastAsia="宋体" w:cs="宋体"/>
                <w:i w:val="0"/>
                <w:color w:val="262626"/>
                <w:kern w:val="0"/>
                <w:sz w:val="22"/>
                <w:szCs w:val="22"/>
                <w:u w:val="none"/>
                <w:lang w:val="en-US" w:eastAsia="zh-CN" w:bidi="ar"/>
              </w:rPr>
              <w:t xml:space="preserve">1,193.00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30211</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差旅费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4,458.00 </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31008</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物资储备</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30113</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住房公积金</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eastAsia" w:ascii="Times New Roman" w:hAnsi="Times New Roman" w:eastAsia="宋体" w:cs="Times New Roman"/>
                <w:color w:val="000000"/>
                <w:sz w:val="11"/>
                <w:szCs w:val="11"/>
                <w:lang w:val="en-US" w:eastAsia="zh-CN"/>
              </w:rPr>
            </w:pPr>
            <w:r>
              <w:rPr>
                <w:rFonts w:hint="eastAsia" w:ascii="Times New Roman" w:hAnsi="Times New Roman" w:eastAsia="宋体" w:cs="Times New Roman"/>
                <w:i w:val="0"/>
                <w:color w:val="000000"/>
                <w:sz w:val="15"/>
                <w:szCs w:val="15"/>
                <w:u w:val="none"/>
                <w:lang w:eastAsia="zh-CN"/>
              </w:rPr>
              <w:t>89,177.00</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30212</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因公出国（境）费用</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31009</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土地补偿</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30114</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医疗费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30213</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维修(护)费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2,000.00 </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31010</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安置补助</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30199</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其他工资福利支出</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r>
              <w:rPr>
                <w:rFonts w:hint="default" w:ascii="Times New Roman" w:hAnsi="Times New Roman" w:eastAsia="宋体" w:cs="Times New Roman"/>
                <w:i w:val="0"/>
                <w:color w:val="000000"/>
                <w:sz w:val="15"/>
                <w:szCs w:val="15"/>
                <w:u w:val="none"/>
              </w:rPr>
              <w:t>1,260.00</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30214</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租赁费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31011</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地上附着物和青苗补偿</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303</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对个人和家庭的补助</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 xml:space="preserve">42,841.32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30215</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会议费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31012</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kern w:val="0"/>
                <w:sz w:val="11"/>
                <w:szCs w:val="11"/>
                <w:lang w:bidi="ar"/>
              </w:rPr>
            </w:pPr>
            <w:r>
              <w:rPr>
                <w:rFonts w:hint="default" w:ascii="Times New Roman" w:hAnsi="Times New Roman" w:eastAsia="宋体" w:cs="Times New Roman"/>
                <w:i w:val="0"/>
                <w:color w:val="000000"/>
                <w:kern w:val="0"/>
                <w:sz w:val="15"/>
                <w:szCs w:val="15"/>
                <w:u w:val="none"/>
                <w:lang w:val="en-US" w:eastAsia="zh-CN" w:bidi="ar"/>
              </w:rPr>
              <w:t xml:space="preserve">  拆迁补偿</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30301</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离休费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i w:val="0"/>
                <w:color w:val="000000"/>
                <w:sz w:val="15"/>
                <w:szCs w:val="15"/>
                <w:u w:val="none"/>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30216</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培训费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31013</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公务用车购置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30302</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退休费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right"/>
              <w:rPr>
                <w:rFonts w:hint="eastAsia" w:ascii="Times New Roman" w:hAnsi="Times New Roman" w:eastAsia="宋体" w:cs="Times New Roman"/>
                <w:i w:val="0"/>
                <w:color w:val="000000"/>
                <w:sz w:val="15"/>
                <w:szCs w:val="15"/>
                <w:u w:val="none"/>
                <w:lang w:eastAsia="zh-CN"/>
              </w:rPr>
            </w:pPr>
            <w:r>
              <w:rPr>
                <w:rFonts w:hint="eastAsia" w:ascii="Times New Roman" w:hAnsi="Times New Roman" w:eastAsia="宋体" w:cs="Times New Roman"/>
                <w:i w:val="0"/>
                <w:color w:val="000000"/>
                <w:sz w:val="15"/>
                <w:szCs w:val="15"/>
                <w:u w:val="none"/>
                <w:lang w:val="en-US" w:eastAsia="zh-CN"/>
              </w:rPr>
              <w:t xml:space="preserve">40,441.32 </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30217</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公务接待费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31019</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其他交通工具购置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30303</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退职（役）费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30218</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专用材料费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31021</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文物和陈列品购置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30304</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抚恤金</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30224</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被装购置费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31022</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无形资产购置</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30305</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生活补助</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30225</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专用燃料费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31099</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其他资本性支出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wordWrap w:val="0"/>
              <w:jc w:val="right"/>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w:t>
            </w: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30306</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救济费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30226</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劳务费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eastAsia" w:ascii="Times New Roman" w:hAnsi="Times New Roman" w:eastAsia="宋体" w:cs="Times New Roman"/>
                <w:i w:val="0"/>
                <w:color w:val="000000"/>
                <w:sz w:val="15"/>
                <w:szCs w:val="15"/>
                <w:u w:val="none"/>
                <w:lang w:val="en-US" w:eastAsia="zh-CN"/>
              </w:rPr>
              <w:t>200.00</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399</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其他支出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30307</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医疗费补助</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30227</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委托业务费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39907</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国家赔偿费用支出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30308</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助学金</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30228</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工会经费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i w:val="0"/>
                <w:color w:val="000000"/>
                <w:sz w:val="15"/>
                <w:szCs w:val="15"/>
                <w:u w:val="none"/>
                <w:lang w:val="en-US" w:eastAsia="zh-CN"/>
              </w:rPr>
            </w:pPr>
            <w:r>
              <w:rPr>
                <w:rFonts w:hint="default" w:ascii="Times New Roman" w:hAnsi="Times New Roman" w:eastAsia="宋体" w:cs="Times New Roman"/>
                <w:i w:val="0"/>
                <w:color w:val="000000"/>
                <w:sz w:val="15"/>
                <w:szCs w:val="15"/>
                <w:u w:val="none"/>
                <w:lang w:val="en-US" w:eastAsia="zh-CN"/>
              </w:rPr>
              <w:t>5,</w:t>
            </w:r>
            <w:r>
              <w:rPr>
                <w:rFonts w:hint="eastAsia" w:ascii="Times New Roman" w:hAnsi="Times New Roman" w:eastAsia="宋体" w:cs="Times New Roman"/>
                <w:i w:val="0"/>
                <w:color w:val="000000"/>
                <w:sz w:val="15"/>
                <w:szCs w:val="15"/>
                <w:u w:val="none"/>
                <w:lang w:val="en-US" w:eastAsia="zh-CN"/>
              </w:rPr>
              <w:t>040</w:t>
            </w:r>
            <w:r>
              <w:rPr>
                <w:rFonts w:hint="default" w:ascii="Times New Roman" w:hAnsi="Times New Roman" w:eastAsia="宋体" w:cs="Times New Roman"/>
                <w:i w:val="0"/>
                <w:color w:val="000000"/>
                <w:sz w:val="15"/>
                <w:szCs w:val="15"/>
                <w:u w:val="none"/>
                <w:lang w:val="en-US" w:eastAsia="zh-CN"/>
              </w:rPr>
              <w:t>.00</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left"/>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39908</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对民间非营利组织和群众性自治组织补贴</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30309</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奖励金</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30229</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福利费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left"/>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39909</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经常性赠与</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30310</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ind w:firstLine="150" w:firstLineChars="10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个人农业生产补贴</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30231</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公务用车运行维护费</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39910</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资本性赠与</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30311</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 xml:space="preserve">  代缴社会保险费</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30239</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其他交通费用</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r>
              <w:rPr>
                <w:rFonts w:hint="default" w:ascii="Times New Roman" w:hAnsi="Times New Roman" w:eastAsia="宋体" w:cs="Times New Roman"/>
                <w:i w:val="0"/>
                <w:color w:val="000000"/>
                <w:sz w:val="15"/>
                <w:szCs w:val="15"/>
                <w:u w:val="none"/>
              </w:rPr>
              <w:t>5</w:t>
            </w:r>
            <w:r>
              <w:rPr>
                <w:rFonts w:hint="eastAsia" w:ascii="Times New Roman" w:hAnsi="Times New Roman" w:eastAsia="宋体" w:cs="Times New Roman"/>
                <w:i w:val="0"/>
                <w:color w:val="000000"/>
                <w:sz w:val="15"/>
                <w:szCs w:val="15"/>
                <w:u w:val="none"/>
                <w:lang w:val="en-US" w:eastAsia="zh-CN"/>
              </w:rPr>
              <w:t>4</w:t>
            </w:r>
            <w:r>
              <w:rPr>
                <w:rFonts w:hint="default" w:ascii="Times New Roman" w:hAnsi="Times New Roman" w:eastAsia="宋体" w:cs="Times New Roman"/>
                <w:i w:val="0"/>
                <w:color w:val="000000"/>
                <w:sz w:val="15"/>
                <w:szCs w:val="15"/>
                <w:u w:val="none"/>
              </w:rPr>
              <w:t>,</w:t>
            </w:r>
            <w:r>
              <w:rPr>
                <w:rFonts w:hint="eastAsia" w:ascii="Times New Roman" w:hAnsi="Times New Roman" w:eastAsia="宋体" w:cs="Times New Roman"/>
                <w:i w:val="0"/>
                <w:color w:val="000000"/>
                <w:sz w:val="15"/>
                <w:szCs w:val="15"/>
                <w:u w:val="none"/>
                <w:lang w:val="en-US" w:eastAsia="zh-CN"/>
              </w:rPr>
              <w:t>36</w:t>
            </w:r>
            <w:r>
              <w:rPr>
                <w:rFonts w:hint="default" w:ascii="Times New Roman" w:hAnsi="Times New Roman" w:eastAsia="宋体" w:cs="Times New Roman"/>
                <w:i w:val="0"/>
                <w:color w:val="000000"/>
                <w:sz w:val="15"/>
                <w:szCs w:val="15"/>
                <w:u w:val="none"/>
              </w:rPr>
              <w:t>0.</w:t>
            </w:r>
            <w:r>
              <w:rPr>
                <w:rFonts w:hint="default" w:ascii="Times New Roman" w:hAnsi="Times New Roman" w:eastAsia="宋体" w:cs="Times New Roman"/>
                <w:i w:val="0"/>
                <w:color w:val="000000"/>
                <w:sz w:val="15"/>
                <w:szCs w:val="15"/>
                <w:u w:val="none"/>
                <w:lang w:val="en-US" w:eastAsia="zh-CN"/>
              </w:rPr>
              <w:t>00</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39999</w:t>
            </w: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其他支出</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30399</w:t>
            </w: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w:t>
            </w:r>
            <w:r>
              <w:rPr>
                <w:rFonts w:hint="default" w:ascii="Times New Roman" w:hAnsi="Times New Roman" w:eastAsia="宋体" w:cs="Times New Roman"/>
                <w:i w:val="0"/>
                <w:color w:val="000000"/>
                <w:sz w:val="15"/>
                <w:szCs w:val="15"/>
                <w:u w:val="none"/>
                <w:lang w:eastAsia="zh-CN"/>
              </w:rPr>
              <w:t>其他对个人和家庭的补助</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r>
              <w:rPr>
                <w:rFonts w:hint="default" w:ascii="Times New Roman" w:hAnsi="Times New Roman" w:eastAsia="宋体" w:cs="Times New Roman"/>
                <w:i w:val="0"/>
                <w:color w:val="000000"/>
                <w:sz w:val="15"/>
                <w:szCs w:val="15"/>
                <w:u w:val="none"/>
              </w:rPr>
              <w:t>2,400.00</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30240</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税金及附加费用</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lang w:val="en-US" w:eastAsia="zh-CN"/>
              </w:rPr>
            </w:pP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left"/>
              <w:textAlignment w:val="center"/>
              <w:rPr>
                <w:rFonts w:hint="default" w:ascii="Times New Roman" w:hAnsi="Times New Roman" w:eastAsia="宋体" w:cs="Times New Roman"/>
                <w:color w:val="000000"/>
                <w:sz w:val="11"/>
                <w:szCs w:val="11"/>
              </w:rPr>
            </w:pP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default" w:ascii="Times New Roman" w:hAnsi="Times New Roman" w:eastAsia="宋体" w:cs="Times New Roman"/>
                <w:color w:val="000000"/>
                <w:sz w:val="11"/>
                <w:szCs w:val="11"/>
              </w:rPr>
            </w:pP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both"/>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948" w:type="dxa"/>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p>
        </w:tc>
        <w:tc>
          <w:tcPr>
            <w:tcW w:w="24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right"/>
              <w:rPr>
                <w:rFonts w:hint="default" w:ascii="Times New Roman" w:hAnsi="Times New Roman" w:eastAsia="宋体" w:cs="Times New Roman"/>
                <w:color w:val="000000"/>
                <w:sz w:val="11"/>
                <w:szCs w:val="11"/>
              </w:rPr>
            </w:pP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30299</w:t>
            </w:r>
          </w:p>
        </w:tc>
        <w:tc>
          <w:tcPr>
            <w:tcW w:w="1947"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 xml:space="preserve">  其他商品服务支出</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color w:val="000000"/>
                <w:sz w:val="11"/>
                <w:szCs w:val="11"/>
                <w:lang w:val="en-US" w:eastAsia="zh-CN"/>
              </w:rPr>
            </w:pPr>
            <w:r>
              <w:rPr>
                <w:rFonts w:hint="eastAsia" w:ascii="Times New Roman" w:hAnsi="Times New Roman" w:eastAsia="宋体" w:cs="Times New Roman"/>
                <w:i w:val="0"/>
                <w:color w:val="000000"/>
                <w:sz w:val="15"/>
                <w:szCs w:val="15"/>
                <w:u w:val="none"/>
                <w:lang w:val="en-US" w:eastAsia="zh-CN"/>
              </w:rPr>
              <w:t>12,680.66</w:t>
            </w:r>
            <w:r>
              <w:rPr>
                <w:rFonts w:hint="eastAsia" w:ascii="宋体" w:hAnsi="宋体" w:eastAsia="宋体" w:cs="宋体"/>
                <w:i w:val="0"/>
                <w:color w:val="262626"/>
                <w:kern w:val="0"/>
                <w:sz w:val="22"/>
                <w:szCs w:val="22"/>
                <w:u w:val="none"/>
                <w:lang w:val="en-US" w:eastAsia="zh-CN" w:bidi="ar"/>
              </w:rPr>
              <w:t xml:space="preserve"> </w:t>
            </w:r>
          </w:p>
        </w:tc>
        <w:tc>
          <w:tcPr>
            <w:tcW w:w="901"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p>
        </w:tc>
        <w:tc>
          <w:tcPr>
            <w:tcW w:w="3233" w:type="dxa"/>
            <w:gridSpan w:val="2"/>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both"/>
              <w:textAlignment w:val="center"/>
              <w:rPr>
                <w:rFonts w:hint="default" w:ascii="Times New Roman" w:hAnsi="Times New Roman" w:eastAsia="宋体" w:cs="Times New Roman"/>
                <w:color w:val="000000"/>
                <w:sz w:val="11"/>
                <w:szCs w:val="11"/>
              </w:rPr>
            </w:pP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top"/>
          </w:tcPr>
          <w:p>
            <w:pPr>
              <w:jc w:val="both"/>
              <w:rPr>
                <w:rFonts w:hint="default" w:ascii="Times New Roman" w:hAnsi="Times New Roman" w:eastAsia="宋体" w:cs="Times New Roman"/>
                <w:color w:val="000000"/>
                <w:sz w:val="11"/>
                <w:szCs w:val="11"/>
              </w:rPr>
            </w:pPr>
          </w:p>
        </w:tc>
      </w:tr>
      <w:tr>
        <w:tblPrEx>
          <w:tblCellMar>
            <w:top w:w="0" w:type="dxa"/>
            <w:left w:w="0" w:type="dxa"/>
            <w:bottom w:w="0" w:type="dxa"/>
            <w:right w:w="0" w:type="dxa"/>
          </w:tblCellMar>
        </w:tblPrEx>
        <w:trPr>
          <w:cantSplit/>
          <w:trHeight w:val="283" w:hRule="exact"/>
        </w:trPr>
        <w:tc>
          <w:tcPr>
            <w:tcW w:w="3388" w:type="dxa"/>
            <w:gridSpan w:val="2"/>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jc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人员经费合计</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right"/>
              <w:textAlignment w:val="center"/>
              <w:rPr>
                <w:rFonts w:hint="default" w:ascii="Times New Roman" w:hAnsi="Times New Roman" w:eastAsia="宋体" w:cs="Times New Roman"/>
                <w:color w:val="000000"/>
                <w:sz w:val="11"/>
                <w:szCs w:val="11"/>
                <w:lang w:val="en-US"/>
              </w:rPr>
            </w:pPr>
            <w:r>
              <w:rPr>
                <w:rFonts w:hint="default" w:ascii="Times New Roman" w:hAnsi="Times New Roman" w:eastAsia="宋体" w:cs="Times New Roman"/>
                <w:i w:val="0"/>
                <w:color w:val="000000"/>
                <w:sz w:val="15"/>
                <w:szCs w:val="15"/>
                <w:u w:val="none"/>
                <w:lang w:val="en-US" w:eastAsia="zh-CN"/>
              </w:rPr>
              <w:t>1,</w:t>
            </w:r>
            <w:r>
              <w:rPr>
                <w:rFonts w:hint="eastAsia" w:ascii="Times New Roman" w:hAnsi="Times New Roman" w:eastAsia="宋体" w:cs="Times New Roman"/>
                <w:i w:val="0"/>
                <w:color w:val="000000"/>
                <w:sz w:val="15"/>
                <w:szCs w:val="15"/>
                <w:u w:val="none"/>
                <w:lang w:val="en-US" w:eastAsia="zh-CN"/>
              </w:rPr>
              <w:t>141</w:t>
            </w:r>
            <w:r>
              <w:rPr>
                <w:rFonts w:hint="default" w:ascii="Times New Roman" w:hAnsi="Times New Roman" w:eastAsia="宋体" w:cs="Times New Roman"/>
                <w:i w:val="0"/>
                <w:color w:val="000000"/>
                <w:sz w:val="15"/>
                <w:szCs w:val="15"/>
                <w:u w:val="none"/>
                <w:lang w:val="en-US" w:eastAsia="zh-CN"/>
              </w:rPr>
              <w:t>,6</w:t>
            </w:r>
            <w:r>
              <w:rPr>
                <w:rFonts w:hint="eastAsia" w:ascii="Times New Roman" w:hAnsi="Times New Roman" w:eastAsia="宋体" w:cs="Times New Roman"/>
                <w:i w:val="0"/>
                <w:color w:val="000000"/>
                <w:sz w:val="15"/>
                <w:szCs w:val="15"/>
                <w:u w:val="none"/>
                <w:lang w:val="en-US" w:eastAsia="zh-CN"/>
              </w:rPr>
              <w:t>50.05</w:t>
            </w:r>
          </w:p>
        </w:tc>
        <w:tc>
          <w:tcPr>
            <w:tcW w:w="8280" w:type="dxa"/>
            <w:gridSpan w:val="7"/>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top"/>
          </w:tcPr>
          <w:p>
            <w:pPr>
              <w:jc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kern w:val="0"/>
                <w:sz w:val="15"/>
                <w:szCs w:val="15"/>
                <w:u w:val="none"/>
                <w:lang w:val="en-US" w:eastAsia="zh-CN" w:bidi="ar"/>
              </w:rPr>
              <w:t>公用经费合计</w:t>
            </w:r>
          </w:p>
        </w:tc>
        <w:tc>
          <w:tcPr>
            <w:tcW w:w="1046" w:type="dxa"/>
            <w:tcBorders>
              <w:top w:val="single" w:color="auto" w:sz="4" w:space="0"/>
              <w:left w:val="single" w:color="auto" w:sz="4" w:space="0"/>
              <w:bottom w:val="single" w:color="auto" w:sz="4" w:space="0"/>
              <w:right w:val="single" w:color="auto" w:sz="8"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hint="default" w:ascii="Times New Roman" w:hAnsi="Times New Roman" w:eastAsia="宋体" w:cs="Times New Roman"/>
                <w:color w:val="000000"/>
                <w:sz w:val="11"/>
                <w:szCs w:val="11"/>
              </w:rPr>
            </w:pPr>
            <w:r>
              <w:rPr>
                <w:rFonts w:hint="eastAsia" w:ascii="Times New Roman" w:hAnsi="Times New Roman" w:eastAsia="宋体" w:cs="Times New Roman"/>
                <w:i w:val="0"/>
                <w:color w:val="000000"/>
                <w:sz w:val="15"/>
                <w:szCs w:val="15"/>
                <w:u w:val="none"/>
                <w:lang w:val="en-US" w:eastAsia="zh-CN"/>
              </w:rPr>
              <w:t>91,960.00</w:t>
            </w:r>
            <w:r>
              <w:rPr>
                <w:rFonts w:hint="eastAsia" w:ascii="宋体" w:hAnsi="宋体" w:eastAsia="宋体" w:cs="宋体"/>
                <w:i w:val="0"/>
                <w:color w:val="262626"/>
                <w:kern w:val="0"/>
                <w:sz w:val="22"/>
                <w:szCs w:val="22"/>
                <w:u w:val="none"/>
                <w:lang w:val="en-US" w:eastAsia="zh-CN" w:bidi="ar"/>
              </w:rPr>
              <w:t xml:space="preserve"> </w:t>
            </w:r>
          </w:p>
        </w:tc>
      </w:tr>
      <w:tr>
        <w:tblPrEx>
          <w:tblCellMar>
            <w:top w:w="0" w:type="dxa"/>
            <w:left w:w="0" w:type="dxa"/>
            <w:bottom w:w="0" w:type="dxa"/>
            <w:right w:w="0" w:type="dxa"/>
          </w:tblCellMar>
        </w:tblPrEx>
        <w:trPr>
          <w:cantSplit/>
          <w:trHeight w:val="283" w:hRule="exact"/>
        </w:trPr>
        <w:tc>
          <w:tcPr>
            <w:tcW w:w="3388" w:type="dxa"/>
            <w:gridSpan w:val="2"/>
            <w:tcBorders>
              <w:top w:val="single" w:color="auto" w:sz="4" w:space="0"/>
              <w:left w:val="single" w:color="auto" w:sz="8" w:space="0"/>
              <w:bottom w:val="single" w:color="auto" w:sz="4" w:space="0"/>
              <w:right w:val="single" w:color="auto" w:sz="4" w:space="0"/>
            </w:tcBorders>
            <w:shd w:val="clear" w:color="auto" w:fill="auto"/>
            <w:tcMar>
              <w:top w:w="12" w:type="dxa"/>
              <w:left w:w="12" w:type="dxa"/>
              <w:right w:w="12" w:type="dxa"/>
            </w:tcMar>
            <w:vAlign w:val="top"/>
          </w:tcPr>
          <w:p>
            <w:pPr>
              <w:keepNext w:val="0"/>
              <w:keepLines w:val="0"/>
              <w:widowControl/>
              <w:suppressLineNumbers w:val="0"/>
              <w:jc w:val="center"/>
              <w:textAlignment w:val="center"/>
              <w:rPr>
                <w:rFonts w:hint="default" w:ascii="Times New Roman" w:hAnsi="Times New Roman" w:eastAsia="宋体" w:cs="Times New Roman"/>
                <w:color w:val="000000"/>
                <w:sz w:val="11"/>
                <w:szCs w:val="11"/>
              </w:rPr>
            </w:pPr>
            <w:r>
              <w:rPr>
                <w:rFonts w:hint="default" w:ascii="Times New Roman" w:hAnsi="Times New Roman" w:eastAsia="宋体" w:cs="Times New Roman"/>
                <w:i w:val="0"/>
                <w:color w:val="000000"/>
                <w:sz w:val="15"/>
                <w:szCs w:val="15"/>
                <w:u w:val="none"/>
                <w:lang w:val="en-US" w:eastAsia="zh-CN"/>
              </w:rPr>
              <w:t>合       计</w:t>
            </w:r>
          </w:p>
        </w:tc>
        <w:tc>
          <w:tcPr>
            <w:tcW w:w="10492" w:type="dxa"/>
            <w:gridSpan w:val="9"/>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z w:val="11"/>
                <w:szCs w:val="11"/>
              </w:rPr>
            </w:pPr>
            <w:r>
              <w:rPr>
                <w:rFonts w:hint="eastAsia" w:ascii="Times New Roman" w:hAnsi="Times New Roman" w:eastAsia="宋体" w:cs="Times New Roman"/>
                <w:i w:val="0"/>
                <w:color w:val="000000"/>
                <w:sz w:val="15"/>
                <w:szCs w:val="15"/>
                <w:u w:val="none"/>
                <w:lang w:val="en-US" w:eastAsia="zh-CN"/>
              </w:rPr>
              <w:t>1,233,610.05</w:t>
            </w:r>
          </w:p>
        </w:tc>
      </w:tr>
    </w:tbl>
    <w:p>
      <w:pPr>
        <w:rPr>
          <w:rFonts w:ascii="Times New Roman" w:hAnsi="Times New Roman" w:cs="Times New Roman"/>
        </w:rPr>
      </w:pPr>
    </w:p>
    <w:tbl>
      <w:tblPr>
        <w:tblStyle w:val="10"/>
        <w:tblpPr w:leftFromText="180" w:rightFromText="180" w:vertAnchor="text" w:horzAnchor="page" w:tblpX="1406" w:tblpY="8593"/>
        <w:tblOverlap w:val="never"/>
        <w:tblW w:w="13880" w:type="dxa"/>
        <w:tblInd w:w="0" w:type="dxa"/>
        <w:tblLayout w:type="fixed"/>
        <w:tblCellMar>
          <w:top w:w="0" w:type="dxa"/>
          <w:left w:w="0" w:type="dxa"/>
          <w:bottom w:w="0" w:type="dxa"/>
          <w:right w:w="0" w:type="dxa"/>
        </w:tblCellMar>
      </w:tblPr>
      <w:tblGrid>
        <w:gridCol w:w="13880"/>
      </w:tblGrid>
      <w:tr>
        <w:tblPrEx>
          <w:tblCellMar>
            <w:top w:w="0" w:type="dxa"/>
            <w:left w:w="0" w:type="dxa"/>
            <w:bottom w:w="0" w:type="dxa"/>
            <w:right w:w="0" w:type="dxa"/>
          </w:tblCellMar>
        </w:tblPrEx>
        <w:trPr>
          <w:trHeight w:val="321" w:hRule="exact"/>
        </w:trPr>
        <w:tc>
          <w:tcPr>
            <w:tcW w:w="13880" w:type="dxa"/>
            <w:tcBorders>
              <w:top w:val="single" w:color="auto" w:sz="4" w:space="0"/>
              <w:left w:val="nil"/>
              <w:bottom w:val="nil"/>
              <w:right w:val="nil"/>
            </w:tcBorders>
            <w:shd w:val="clear" w:color="auto" w:fill="auto"/>
            <w:tcMar>
              <w:top w:w="12" w:type="dxa"/>
              <w:left w:w="12" w:type="dxa"/>
              <w:right w:w="12" w:type="dxa"/>
            </w:tcMar>
          </w:tcPr>
          <w:p>
            <w:pPr>
              <w:rPr>
                <w:rFonts w:hint="eastAsia" w:ascii="Times New Roman" w:hAnsi="Times New Roman" w:cs="Times New Roman" w:eastAsiaTheme="minorEastAsia"/>
                <w:sz w:val="15"/>
                <w:szCs w:val="15"/>
                <w:lang w:eastAsia="zh-CN"/>
              </w:rPr>
            </w:pPr>
            <w:r>
              <w:rPr>
                <w:rFonts w:ascii="Times New Roman" w:hAnsi="Times New Roman" w:cs="Times New Roman"/>
              </w:rPr>
              <w:t>注：本表反映部门本年度一般公共预算财政拨款基本支出</w:t>
            </w:r>
            <w:r>
              <w:rPr>
                <w:rFonts w:hint="eastAsia" w:ascii="Times New Roman" w:hAnsi="Times New Roman" w:cs="Times New Roman"/>
                <w:lang w:eastAsia="zh-CN"/>
              </w:rPr>
              <w:t>明细</w:t>
            </w:r>
            <w:r>
              <w:rPr>
                <w:rFonts w:ascii="Times New Roman" w:hAnsi="Times New Roman" w:cs="Times New Roman"/>
              </w:rPr>
              <w:t>情况，数据取自财决08-1表</w:t>
            </w:r>
            <w:r>
              <w:rPr>
                <w:rFonts w:hint="eastAsia" w:ascii="Times New Roman" w:hAnsi="Times New Roman" w:cs="Times New Roman"/>
                <w:lang w:eastAsia="zh-CN"/>
              </w:rPr>
              <w:t>。</w:t>
            </w:r>
          </w:p>
        </w:tc>
      </w:tr>
    </w:tbl>
    <w:p>
      <w:pPr>
        <w:rPr>
          <w:rFonts w:ascii="Times New Roman" w:hAnsi="Times New Roman" w:cs="Times New Roman"/>
        </w:rPr>
      </w:pPr>
    </w:p>
    <w:p>
      <w:pPr>
        <w:tabs>
          <w:tab w:val="left" w:pos="1237"/>
        </w:tabs>
        <w:ind w:firstLine="678" w:firstLineChars="323"/>
        <w:jc w:val="left"/>
        <w:rPr>
          <w:rFonts w:ascii="Times New Roman" w:hAnsi="Times New Roman" w:cs="Times New Roman"/>
        </w:rPr>
      </w:pPr>
    </w:p>
    <w:p>
      <w:pPr>
        <w:tabs>
          <w:tab w:val="left" w:pos="1237"/>
        </w:tabs>
        <w:jc w:val="left"/>
        <w:rPr>
          <w:rFonts w:ascii="Times New Roman" w:hAnsi="Times New Roman" w:cs="Times New Roman"/>
        </w:rPr>
      </w:pPr>
    </w:p>
    <w:tbl>
      <w:tblPr>
        <w:tblStyle w:val="10"/>
        <w:tblW w:w="15523" w:type="dxa"/>
        <w:jc w:val="center"/>
        <w:tblLayout w:type="fixed"/>
        <w:tblCellMar>
          <w:top w:w="0" w:type="dxa"/>
          <w:left w:w="108" w:type="dxa"/>
          <w:bottom w:w="0" w:type="dxa"/>
          <w:right w:w="108" w:type="dxa"/>
        </w:tblCellMar>
      </w:tblPr>
      <w:tblGrid>
        <w:gridCol w:w="740"/>
        <w:gridCol w:w="590"/>
        <w:gridCol w:w="433"/>
        <w:gridCol w:w="344"/>
        <w:gridCol w:w="395"/>
        <w:gridCol w:w="652"/>
        <w:gridCol w:w="461"/>
        <w:gridCol w:w="461"/>
        <w:gridCol w:w="527"/>
        <w:gridCol w:w="515"/>
        <w:gridCol w:w="512"/>
        <w:gridCol w:w="545"/>
        <w:gridCol w:w="450"/>
        <w:gridCol w:w="525"/>
        <w:gridCol w:w="555"/>
        <w:gridCol w:w="495"/>
        <w:gridCol w:w="435"/>
        <w:gridCol w:w="540"/>
        <w:gridCol w:w="480"/>
        <w:gridCol w:w="587"/>
        <w:gridCol w:w="437"/>
        <w:gridCol w:w="555"/>
        <w:gridCol w:w="565"/>
        <w:gridCol w:w="455"/>
        <w:gridCol w:w="495"/>
        <w:gridCol w:w="615"/>
        <w:gridCol w:w="561"/>
        <w:gridCol w:w="555"/>
        <w:gridCol w:w="435"/>
        <w:gridCol w:w="591"/>
        <w:gridCol w:w="17"/>
      </w:tblGrid>
      <w:tr>
        <w:tblPrEx>
          <w:tblCellMar>
            <w:top w:w="0" w:type="dxa"/>
            <w:left w:w="108" w:type="dxa"/>
            <w:bottom w:w="0" w:type="dxa"/>
            <w:right w:w="108" w:type="dxa"/>
          </w:tblCellMar>
        </w:tblPrEx>
        <w:trPr>
          <w:gridAfter w:val="1"/>
          <w:wAfter w:w="17" w:type="dxa"/>
          <w:trHeight w:val="846" w:hRule="atLeast"/>
          <w:jc w:val="center"/>
        </w:trPr>
        <w:tc>
          <w:tcPr>
            <w:tcW w:w="15506" w:type="dxa"/>
            <w:gridSpan w:val="30"/>
            <w:tcBorders>
              <w:top w:val="nil"/>
              <w:left w:val="nil"/>
              <w:bottom w:val="nil"/>
              <w:right w:val="nil"/>
            </w:tcBorders>
            <w:shd w:val="clear" w:color="auto" w:fill="auto"/>
            <w:vAlign w:val="bottom"/>
          </w:tcPr>
          <w:p>
            <w:pPr>
              <w:widowControl/>
              <w:tabs>
                <w:tab w:val="left" w:pos="8171"/>
              </w:tabs>
              <w:jc w:val="center"/>
              <w:rPr>
                <w:rFonts w:ascii="Times New Roman" w:hAnsi="Times New Roman" w:cs="Times New Roman"/>
                <w:b/>
                <w:bCs/>
                <w:color w:val="000000"/>
                <w:kern w:val="0"/>
                <w:sz w:val="36"/>
                <w:szCs w:val="36"/>
              </w:rPr>
            </w:pPr>
          </w:p>
          <w:p>
            <w:pPr>
              <w:widowControl/>
              <w:tabs>
                <w:tab w:val="left" w:pos="8171"/>
              </w:tabs>
              <w:jc w:val="center"/>
              <w:rPr>
                <w:rFonts w:ascii="Times New Roman" w:hAnsi="Times New Roman" w:cs="Times New Roman"/>
                <w:color w:val="000000"/>
                <w:kern w:val="0"/>
                <w:sz w:val="24"/>
              </w:rPr>
            </w:pPr>
            <w:r>
              <w:rPr>
                <w:rFonts w:ascii="Times New Roman" w:hAnsi="Times New Roman" w:cs="Times New Roman"/>
                <w:b/>
                <w:bCs/>
                <w:color w:val="000000"/>
                <w:kern w:val="0"/>
                <w:sz w:val="36"/>
                <w:szCs w:val="36"/>
              </w:rPr>
              <w:t>财政拨款</w:t>
            </w:r>
            <w:r>
              <w:rPr>
                <w:rFonts w:hint="eastAsia" w:ascii="Times New Roman" w:hAnsi="Times New Roman" w:cs="Times New Roman"/>
                <w:b/>
                <w:bCs/>
                <w:color w:val="000000"/>
                <w:kern w:val="0"/>
                <w:sz w:val="36"/>
                <w:szCs w:val="36"/>
              </w:rPr>
              <w:t>“三公”经费</w:t>
            </w:r>
            <w:r>
              <w:rPr>
                <w:rFonts w:ascii="Times New Roman" w:hAnsi="Times New Roman" w:cs="Times New Roman"/>
                <w:b/>
                <w:bCs/>
                <w:color w:val="000000"/>
                <w:kern w:val="0"/>
                <w:sz w:val="36"/>
                <w:szCs w:val="36"/>
              </w:rPr>
              <w:t>支出决算表</w:t>
            </w:r>
          </w:p>
        </w:tc>
      </w:tr>
      <w:tr>
        <w:tblPrEx>
          <w:tblCellMar>
            <w:top w:w="0" w:type="dxa"/>
            <w:left w:w="108" w:type="dxa"/>
            <w:bottom w:w="0" w:type="dxa"/>
            <w:right w:w="108" w:type="dxa"/>
          </w:tblCellMar>
        </w:tblPrEx>
        <w:trPr>
          <w:gridAfter w:val="1"/>
          <w:wAfter w:w="17" w:type="dxa"/>
          <w:trHeight w:val="300" w:hRule="atLeast"/>
          <w:jc w:val="center"/>
        </w:trPr>
        <w:tc>
          <w:tcPr>
            <w:tcW w:w="15506" w:type="dxa"/>
            <w:gridSpan w:val="30"/>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4"/>
              </w:rPr>
            </w:pPr>
          </w:p>
          <w:p>
            <w:pPr>
              <w:widowControl/>
              <w:ind w:firstLine="420" w:firstLineChars="200"/>
              <w:jc w:val="righ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公开</w:t>
            </w:r>
            <w:r>
              <w:rPr>
                <w:rFonts w:ascii="Times New Roman" w:hAnsi="Times New Roman" w:eastAsia="宋体" w:cs="Times New Roman"/>
                <w:color w:val="000000"/>
                <w:kern w:val="0"/>
                <w:szCs w:val="21"/>
                <w:lang w:bidi="ar"/>
              </w:rPr>
              <w:t>0</w:t>
            </w: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表</w:t>
            </w:r>
          </w:p>
          <w:p>
            <w:pPr>
              <w:widowControl/>
              <w:rPr>
                <w:rFonts w:ascii="Times New Roman" w:hAnsi="Times New Roman" w:cs="Times New Roman"/>
                <w:color w:val="000000"/>
                <w:kern w:val="0"/>
                <w:sz w:val="24"/>
              </w:rPr>
            </w:pPr>
            <w:r>
              <w:rPr>
                <w:rFonts w:ascii="Times New Roman" w:hAnsi="Times New Roman" w:eastAsia="宋体" w:cs="Times New Roman"/>
                <w:color w:val="000000"/>
                <w:kern w:val="0"/>
                <w:szCs w:val="21"/>
                <w:lang w:bidi="ar"/>
              </w:rPr>
              <w:t>公开部门：</w:t>
            </w:r>
            <w:r>
              <w:rPr>
                <w:rFonts w:hint="eastAsia" w:ascii="Times New Roman" w:hAnsi="Times New Roman" w:eastAsia="宋体" w:cs="Times New Roman"/>
                <w:color w:val="000000"/>
                <w:kern w:val="0"/>
                <w:szCs w:val="21"/>
                <w:lang w:eastAsia="zh-CN" w:bidi="ar"/>
              </w:rPr>
              <w:t>中卫市红十字会</w:t>
            </w:r>
            <w:r>
              <w:rPr>
                <w:rFonts w:hint="eastAsia" w:ascii="Times New Roman" w:hAnsi="Times New Roman" w:eastAsia="宋体" w:cs="Times New Roman"/>
                <w:color w:val="000000"/>
                <w:kern w:val="0"/>
                <w:szCs w:val="21"/>
                <w:lang w:bidi="ar"/>
              </w:rPr>
              <w:t xml:space="preserve">  </w:t>
            </w:r>
            <w:r>
              <w:rPr>
                <w:rFonts w:hint="eastAsia" w:ascii="Times New Roman" w:hAnsi="Times New Roman" w:cs="Times New Roman"/>
                <w:color w:val="000000"/>
                <w:kern w:val="0"/>
                <w:sz w:val="24"/>
              </w:rPr>
              <w:t xml:space="preserve">                                                                              </w:t>
            </w:r>
            <w:r>
              <w:rPr>
                <w:rFonts w:hint="eastAsia" w:ascii="Times New Roman" w:hAnsi="Times New Roman" w:cs="Times New Roman"/>
                <w:color w:val="000000"/>
                <w:kern w:val="0"/>
                <w:sz w:val="24"/>
                <w:lang w:val="en-US" w:eastAsia="zh-CN"/>
              </w:rPr>
              <w:t xml:space="preserve">      </w:t>
            </w:r>
            <w:r>
              <w:rPr>
                <w:rFonts w:hint="eastAsia" w:ascii="Times New Roman" w:hAnsi="Times New Roman" w:cs="Times New Roman"/>
                <w:color w:val="000000"/>
                <w:kern w:val="0"/>
                <w:sz w:val="24"/>
              </w:rPr>
              <w:t xml:space="preserve">   </w:t>
            </w:r>
            <w:r>
              <w:rPr>
                <w:rFonts w:hint="eastAsia" w:ascii="Times New Roman" w:hAnsi="Times New Roman" w:cs="Times New Roman"/>
                <w:color w:val="000000"/>
                <w:kern w:val="0"/>
                <w:sz w:val="24"/>
                <w:lang w:val="en-US" w:eastAsia="zh-CN"/>
              </w:rPr>
              <w:t xml:space="preserve">    </w:t>
            </w:r>
            <w:r>
              <w:rPr>
                <w:rFonts w:hint="eastAsia" w:ascii="Times New Roman" w:hAnsi="Times New Roman" w:cs="Times New Roman"/>
                <w:color w:val="000000"/>
                <w:kern w:val="0"/>
                <w:sz w:val="24"/>
              </w:rPr>
              <w:t xml:space="preserve">  </w:t>
            </w:r>
            <w:r>
              <w:rPr>
                <w:rFonts w:ascii="Times New Roman" w:hAnsi="Times New Roman" w:eastAsia="宋体" w:cs="Times New Roman"/>
                <w:color w:val="000000"/>
                <w:kern w:val="0"/>
                <w:szCs w:val="21"/>
                <w:lang w:bidi="ar"/>
              </w:rPr>
              <w:t>金额单位：元</w:t>
            </w:r>
          </w:p>
        </w:tc>
      </w:tr>
      <w:tr>
        <w:tblPrEx>
          <w:tblCellMar>
            <w:top w:w="0" w:type="dxa"/>
            <w:left w:w="108" w:type="dxa"/>
            <w:bottom w:w="0" w:type="dxa"/>
            <w:right w:w="108" w:type="dxa"/>
          </w:tblCellMar>
        </w:tblPrEx>
        <w:trPr>
          <w:gridAfter w:val="1"/>
          <w:wAfter w:w="17" w:type="dxa"/>
          <w:trHeight w:val="510" w:hRule="atLeast"/>
          <w:jc w:val="center"/>
        </w:trPr>
        <w:tc>
          <w:tcPr>
            <w:tcW w:w="315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eastAsia="zh-CN"/>
              </w:rPr>
              <w:t>2025年</w:t>
            </w:r>
            <w:r>
              <w:rPr>
                <w:rFonts w:hint="default" w:ascii="Times New Roman" w:hAnsi="Times New Roman" w:cs="Times New Roman"/>
                <w:color w:val="000000"/>
                <w:kern w:val="0"/>
                <w:sz w:val="22"/>
                <w:szCs w:val="22"/>
              </w:rPr>
              <w:t>度预算数</w:t>
            </w:r>
          </w:p>
        </w:tc>
        <w:tc>
          <w:tcPr>
            <w:tcW w:w="3021"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eastAsia="zh-CN"/>
              </w:rPr>
              <w:t>2024年</w:t>
            </w:r>
            <w:r>
              <w:rPr>
                <w:rFonts w:hint="default" w:ascii="Times New Roman" w:hAnsi="Times New Roman" w:cs="Times New Roman"/>
                <w:color w:val="000000"/>
                <w:kern w:val="0"/>
                <w:sz w:val="22"/>
                <w:szCs w:val="22"/>
              </w:rPr>
              <w:t>度决算数</w:t>
            </w:r>
          </w:p>
        </w:tc>
        <w:tc>
          <w:tcPr>
            <w:tcW w:w="30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2025年度决算数</w:t>
            </w:r>
          </w:p>
        </w:tc>
        <w:tc>
          <w:tcPr>
            <w:tcW w:w="3079"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2025年度决算数为2025年度预算数的%</w:t>
            </w:r>
          </w:p>
        </w:tc>
        <w:tc>
          <w:tcPr>
            <w:tcW w:w="325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2025年度决算数与2024年度决算数增速%</w:t>
            </w:r>
          </w:p>
        </w:tc>
      </w:tr>
      <w:tr>
        <w:tblPrEx>
          <w:tblCellMar>
            <w:top w:w="0" w:type="dxa"/>
            <w:left w:w="108" w:type="dxa"/>
            <w:bottom w:w="0" w:type="dxa"/>
            <w:right w:w="108" w:type="dxa"/>
          </w:tblCellMar>
        </w:tblPrEx>
        <w:trPr>
          <w:gridAfter w:val="1"/>
          <w:wAfter w:w="17" w:type="dxa"/>
          <w:trHeight w:val="1668" w:hRule="atLeast"/>
          <w:jc w:val="center"/>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lang w:eastAsia="zh-CN"/>
              </w:rPr>
              <w:t>因</w:t>
            </w:r>
            <w:r>
              <w:rPr>
                <w:rFonts w:hint="default" w:ascii="Times New Roman" w:hAnsi="Times New Roman" w:cs="Times New Roman"/>
                <w:color w:val="000000"/>
                <w:kern w:val="0"/>
                <w:sz w:val="20"/>
                <w:szCs w:val="20"/>
              </w:rPr>
              <w:t>公出国（境）费</w:t>
            </w:r>
          </w:p>
        </w:tc>
        <w:tc>
          <w:tcPr>
            <w:tcW w:w="11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公务用车购置及运行费</w:t>
            </w:r>
          </w:p>
        </w:tc>
        <w:tc>
          <w:tcPr>
            <w:tcW w:w="6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公务接待费</w:t>
            </w:r>
          </w:p>
        </w:tc>
        <w:tc>
          <w:tcPr>
            <w:tcW w:w="4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w:t>
            </w:r>
          </w:p>
        </w:tc>
        <w:tc>
          <w:tcPr>
            <w:tcW w:w="4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lang w:eastAsia="zh-CN"/>
              </w:rPr>
              <w:t>因</w:t>
            </w:r>
            <w:r>
              <w:rPr>
                <w:rFonts w:hint="default" w:ascii="Times New Roman" w:hAnsi="Times New Roman" w:cs="Times New Roman"/>
                <w:color w:val="000000"/>
                <w:kern w:val="0"/>
                <w:sz w:val="20"/>
                <w:szCs w:val="20"/>
              </w:rPr>
              <w:t>公出国（境）费</w:t>
            </w:r>
          </w:p>
        </w:tc>
        <w:tc>
          <w:tcPr>
            <w:tcW w:w="1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公务用车购置及运行费</w:t>
            </w:r>
          </w:p>
        </w:tc>
        <w:tc>
          <w:tcPr>
            <w:tcW w:w="54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公务接待费</w:t>
            </w:r>
          </w:p>
        </w:tc>
        <w:tc>
          <w:tcPr>
            <w:tcW w:w="450"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w:t>
            </w:r>
          </w:p>
        </w:tc>
        <w:tc>
          <w:tcPr>
            <w:tcW w:w="52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lang w:eastAsia="zh-CN"/>
              </w:rPr>
              <w:t>因</w:t>
            </w:r>
            <w:r>
              <w:rPr>
                <w:rFonts w:hint="default" w:ascii="Times New Roman" w:hAnsi="Times New Roman" w:cs="Times New Roman"/>
                <w:color w:val="000000"/>
                <w:kern w:val="0"/>
                <w:sz w:val="20"/>
                <w:szCs w:val="20"/>
              </w:rPr>
              <w:t>公出国（境）费</w:t>
            </w:r>
          </w:p>
        </w:tc>
        <w:tc>
          <w:tcPr>
            <w:tcW w:w="14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公务用车购置及运行费</w:t>
            </w:r>
          </w:p>
        </w:tc>
        <w:tc>
          <w:tcPr>
            <w:tcW w:w="540"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公务接待费</w:t>
            </w:r>
          </w:p>
        </w:tc>
        <w:tc>
          <w:tcPr>
            <w:tcW w:w="480"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w:t>
            </w:r>
          </w:p>
        </w:tc>
        <w:tc>
          <w:tcPr>
            <w:tcW w:w="587"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lang w:eastAsia="zh-CN"/>
              </w:rPr>
              <w:t>因</w:t>
            </w:r>
            <w:r>
              <w:rPr>
                <w:rFonts w:hint="default" w:ascii="Times New Roman" w:hAnsi="Times New Roman" w:cs="Times New Roman"/>
                <w:color w:val="000000"/>
                <w:kern w:val="0"/>
                <w:sz w:val="20"/>
                <w:szCs w:val="20"/>
              </w:rPr>
              <w:t>公出国（境）费</w:t>
            </w:r>
          </w:p>
        </w:tc>
        <w:tc>
          <w:tcPr>
            <w:tcW w:w="15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公务用车购置及运行费</w:t>
            </w:r>
          </w:p>
        </w:tc>
        <w:tc>
          <w:tcPr>
            <w:tcW w:w="45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公务接待费</w:t>
            </w:r>
          </w:p>
        </w:tc>
        <w:tc>
          <w:tcPr>
            <w:tcW w:w="49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w:t>
            </w:r>
          </w:p>
        </w:tc>
        <w:tc>
          <w:tcPr>
            <w:tcW w:w="61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lang w:eastAsia="zh-CN"/>
              </w:rPr>
              <w:t>因</w:t>
            </w:r>
            <w:r>
              <w:rPr>
                <w:rFonts w:hint="default" w:ascii="Times New Roman" w:hAnsi="Times New Roman" w:cs="Times New Roman"/>
                <w:color w:val="000000"/>
                <w:kern w:val="0"/>
                <w:sz w:val="20"/>
                <w:szCs w:val="20"/>
              </w:rPr>
              <w:t>公出国（境）费</w:t>
            </w:r>
          </w:p>
        </w:tc>
        <w:tc>
          <w:tcPr>
            <w:tcW w:w="15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公务用车购置及运行费</w:t>
            </w:r>
          </w:p>
        </w:tc>
        <w:tc>
          <w:tcPr>
            <w:tcW w:w="591"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公务接待费</w:t>
            </w:r>
          </w:p>
        </w:tc>
      </w:tr>
      <w:tr>
        <w:tblPrEx>
          <w:tblCellMar>
            <w:top w:w="0" w:type="dxa"/>
            <w:left w:w="108" w:type="dxa"/>
            <w:bottom w:w="0" w:type="dxa"/>
            <w:right w:w="108" w:type="dxa"/>
          </w:tblCellMar>
        </w:tblPrEx>
        <w:trPr>
          <w:gridAfter w:val="1"/>
          <w:wAfter w:w="17" w:type="dxa"/>
          <w:trHeight w:val="555" w:hRule="atLeast"/>
          <w:jc w:val="center"/>
        </w:trPr>
        <w:tc>
          <w:tcPr>
            <w:tcW w:w="7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小计</w:t>
            </w:r>
          </w:p>
        </w:tc>
        <w:tc>
          <w:tcPr>
            <w:tcW w:w="3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公务用车购置费</w:t>
            </w:r>
          </w:p>
        </w:tc>
        <w:tc>
          <w:tcPr>
            <w:tcW w:w="3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公务用车运行费</w:t>
            </w:r>
          </w:p>
        </w:tc>
        <w:tc>
          <w:tcPr>
            <w:tcW w:w="6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pPr>
          </w:p>
        </w:tc>
        <w:tc>
          <w:tcPr>
            <w:tcW w:w="4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4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小计</w:t>
            </w:r>
          </w:p>
        </w:tc>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公务用车购置费</w:t>
            </w:r>
          </w:p>
        </w:tc>
        <w:tc>
          <w:tcPr>
            <w:tcW w:w="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公务用车运行费</w:t>
            </w:r>
          </w:p>
        </w:tc>
        <w:tc>
          <w:tcPr>
            <w:tcW w:w="545"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450"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c>
          <w:tcPr>
            <w:tcW w:w="52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c>
          <w:tcPr>
            <w:tcW w:w="555"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小计</w:t>
            </w:r>
          </w:p>
        </w:tc>
        <w:tc>
          <w:tcPr>
            <w:tcW w:w="495"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公务用车购置费</w:t>
            </w: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sz w:val="20"/>
                <w:szCs w:val="20"/>
              </w:rPr>
            </w:pPr>
            <w:r>
              <w:rPr>
                <w:rFonts w:hint="default" w:ascii="Times New Roman" w:hAnsi="Times New Roman" w:cs="Times New Roman"/>
                <w:color w:val="000000"/>
                <w:kern w:val="0"/>
                <w:sz w:val="20"/>
                <w:szCs w:val="20"/>
              </w:rPr>
              <w:t>公务用车运行费</w:t>
            </w:r>
          </w:p>
        </w:tc>
        <w:tc>
          <w:tcPr>
            <w:tcW w:w="540"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c>
          <w:tcPr>
            <w:tcW w:w="480" w:type="dxa"/>
            <w:vMerge w:val="continue"/>
            <w:tcBorders>
              <w:left w:val="single" w:color="auto" w:sz="4" w:space="0"/>
              <w:bottom w:val="single" w:color="auto" w:sz="4" w:space="0"/>
              <w:right w:val="single" w:color="auto" w:sz="4" w:space="0"/>
            </w:tcBorders>
            <w:vAlign w:val="center"/>
          </w:tcPr>
          <w:p>
            <w:pPr>
              <w:widowControl/>
              <w:jc w:val="left"/>
              <w:rPr>
                <w:sz w:val="20"/>
                <w:szCs w:val="20"/>
              </w:rPr>
            </w:pPr>
          </w:p>
        </w:tc>
        <w:tc>
          <w:tcPr>
            <w:tcW w:w="587"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c>
          <w:tcPr>
            <w:tcW w:w="437"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小计</w:t>
            </w:r>
          </w:p>
        </w:tc>
        <w:tc>
          <w:tcPr>
            <w:tcW w:w="555"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公务用车购置费</w:t>
            </w:r>
          </w:p>
        </w:tc>
        <w:tc>
          <w:tcPr>
            <w:tcW w:w="565" w:type="dxa"/>
            <w:tcBorders>
              <w:top w:val="single" w:color="auto" w:sz="4" w:space="0"/>
              <w:left w:val="single" w:color="auto" w:sz="4" w:space="0"/>
              <w:bottom w:val="single" w:color="auto" w:sz="4" w:space="0"/>
              <w:right w:val="single" w:color="auto" w:sz="4" w:space="0"/>
            </w:tcBorders>
            <w:vAlign w:val="center"/>
          </w:tcPr>
          <w:p>
            <w:pPr>
              <w:widowControl/>
              <w:jc w:val="left"/>
            </w:pPr>
            <w:r>
              <w:rPr>
                <w:rFonts w:hint="default" w:ascii="Times New Roman" w:hAnsi="Times New Roman" w:cs="Times New Roman"/>
                <w:color w:val="000000"/>
                <w:kern w:val="0"/>
                <w:sz w:val="20"/>
                <w:szCs w:val="20"/>
              </w:rPr>
              <w:t>公务用车运行费</w:t>
            </w:r>
          </w:p>
        </w:tc>
        <w:tc>
          <w:tcPr>
            <w:tcW w:w="45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c>
          <w:tcPr>
            <w:tcW w:w="495"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c>
          <w:tcPr>
            <w:tcW w:w="615" w:type="dxa"/>
            <w:vMerge w:val="continue"/>
            <w:tcBorders>
              <w:left w:val="single" w:color="auto" w:sz="4" w:space="0"/>
              <w:bottom w:val="single" w:color="auto" w:sz="4" w:space="0"/>
              <w:right w:val="single" w:color="auto" w:sz="4" w:space="0"/>
            </w:tcBorders>
            <w:vAlign w:val="center"/>
          </w:tcPr>
          <w:p>
            <w:pPr>
              <w:widowControl/>
              <w:jc w:val="left"/>
            </w:pPr>
          </w:p>
        </w:tc>
        <w:tc>
          <w:tcPr>
            <w:tcW w:w="561"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小计</w:t>
            </w:r>
          </w:p>
        </w:tc>
        <w:tc>
          <w:tcPr>
            <w:tcW w:w="555"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公务用车购置费</w:t>
            </w: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公务用车运行费</w:t>
            </w:r>
          </w:p>
        </w:tc>
        <w:tc>
          <w:tcPr>
            <w:tcW w:w="591" w:type="dxa"/>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0"/>
                <w:szCs w:val="20"/>
              </w:rPr>
            </w:pPr>
          </w:p>
        </w:tc>
      </w:tr>
      <w:tr>
        <w:tblPrEx>
          <w:tblCellMar>
            <w:top w:w="0" w:type="dxa"/>
            <w:left w:w="108" w:type="dxa"/>
            <w:bottom w:w="0" w:type="dxa"/>
            <w:right w:w="108" w:type="dxa"/>
          </w:tblCellMar>
        </w:tblPrEx>
        <w:trPr>
          <w:gridAfter w:val="1"/>
          <w:wAfter w:w="17" w:type="dxa"/>
          <w:trHeight w:val="615" w:hRule="atLeast"/>
          <w:jc w:val="center"/>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w:t>
            </w:r>
          </w:p>
        </w:tc>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w:t>
            </w:r>
          </w:p>
        </w:tc>
        <w:tc>
          <w:tcPr>
            <w:tcW w:w="3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3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pPr>
            <w:r>
              <w:rPr>
                <w:rFonts w:hint="default" w:ascii="Times New Roman" w:hAnsi="Times New Roman" w:cs="Times New Roman"/>
                <w:color w:val="000000"/>
                <w:kern w:val="0"/>
                <w:sz w:val="20"/>
                <w:szCs w:val="20"/>
              </w:rPr>
              <w:t>6</w:t>
            </w:r>
          </w:p>
        </w:tc>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7</w:t>
            </w:r>
          </w:p>
        </w:tc>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9</w:t>
            </w:r>
          </w:p>
        </w:tc>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10</w:t>
            </w:r>
          </w:p>
        </w:tc>
        <w:tc>
          <w:tcPr>
            <w:tcW w:w="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11</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w:t>
            </w:r>
          </w:p>
        </w:tc>
        <w:tc>
          <w:tcPr>
            <w:tcW w:w="4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13</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14</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15</w:t>
            </w:r>
          </w:p>
        </w:tc>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20"/>
                <w:szCs w:val="20"/>
              </w:rPr>
            </w:pPr>
            <w:r>
              <w:rPr>
                <w:rFonts w:hint="eastAsia" w:ascii="Times New Roman" w:hAnsi="Times New Roman" w:cs="Times New Roman"/>
                <w:color w:val="000000"/>
                <w:kern w:val="0"/>
                <w:sz w:val="20"/>
                <w:szCs w:val="20"/>
                <w:lang w:val="en-US" w:eastAsia="zh-CN"/>
              </w:rPr>
              <w:t>16</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17</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20"/>
                <w:szCs w:val="20"/>
              </w:rPr>
            </w:pPr>
            <w:r>
              <w:rPr>
                <w:rFonts w:hint="eastAsia" w:ascii="Times New Roman" w:hAnsi="Times New Roman" w:cs="Times New Roman"/>
                <w:color w:val="000000"/>
                <w:kern w:val="0"/>
                <w:sz w:val="20"/>
                <w:szCs w:val="20"/>
                <w:lang w:val="en-US" w:eastAsia="zh-CN"/>
              </w:rPr>
              <w:t>18</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19</w:t>
            </w:r>
          </w:p>
        </w:tc>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20</w:t>
            </w:r>
          </w:p>
        </w:tc>
        <w:tc>
          <w:tcPr>
            <w:tcW w:w="4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21</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22</w:t>
            </w:r>
          </w:p>
        </w:tc>
        <w:tc>
          <w:tcPr>
            <w:tcW w:w="5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23</w:t>
            </w:r>
          </w:p>
        </w:tc>
        <w:tc>
          <w:tcPr>
            <w:tcW w:w="4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24</w:t>
            </w:r>
          </w:p>
        </w:tc>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25</w:t>
            </w:r>
          </w:p>
        </w:tc>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26</w:t>
            </w:r>
          </w:p>
        </w:tc>
        <w:tc>
          <w:tcPr>
            <w:tcW w:w="5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27</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28</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29</w:t>
            </w:r>
          </w:p>
        </w:tc>
        <w:tc>
          <w:tcPr>
            <w:tcW w:w="5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30</w:t>
            </w:r>
          </w:p>
        </w:tc>
      </w:tr>
      <w:tr>
        <w:tblPrEx>
          <w:tblCellMar>
            <w:top w:w="0" w:type="dxa"/>
            <w:left w:w="108" w:type="dxa"/>
            <w:bottom w:w="0" w:type="dxa"/>
            <w:right w:w="108" w:type="dxa"/>
          </w:tblCellMar>
        </w:tblPrEx>
        <w:trPr>
          <w:gridAfter w:val="1"/>
          <w:wAfter w:w="17" w:type="dxa"/>
          <w:trHeight w:val="975" w:hRule="atLeast"/>
          <w:jc w:val="center"/>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2000</w:t>
            </w:r>
          </w:p>
        </w:tc>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3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3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pPr>
            <w:r>
              <w:rPr>
                <w:rFonts w:hint="eastAsia" w:ascii="Times New Roman" w:hAnsi="Times New Roman" w:cs="Times New Roman"/>
                <w:color w:val="000000"/>
                <w:kern w:val="0"/>
                <w:sz w:val="20"/>
                <w:szCs w:val="20"/>
                <w:lang w:val="en-US" w:eastAsia="zh-CN"/>
              </w:rPr>
              <w:t>2000</w:t>
            </w:r>
          </w:p>
        </w:tc>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c>
          <w:tcPr>
            <w:tcW w:w="5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20"/>
                <w:szCs w:val="20"/>
                <w:lang w:val="en-US" w:eastAsia="zh-CN"/>
              </w:rPr>
              <w:t>0</w:t>
            </w:r>
          </w:p>
        </w:tc>
      </w:tr>
      <w:tr>
        <w:tblPrEx>
          <w:tblCellMar>
            <w:top w:w="0" w:type="dxa"/>
            <w:left w:w="108" w:type="dxa"/>
            <w:bottom w:w="0" w:type="dxa"/>
            <w:right w:w="108" w:type="dxa"/>
          </w:tblCellMar>
        </w:tblPrEx>
        <w:trPr>
          <w:trHeight w:val="308" w:hRule="atLeast"/>
          <w:jc w:val="center"/>
        </w:trPr>
        <w:tc>
          <w:tcPr>
            <w:tcW w:w="15523" w:type="dxa"/>
            <w:gridSpan w:val="31"/>
            <w:tcBorders>
              <w:top w:val="single" w:color="auto" w:sz="4" w:space="0"/>
              <w:left w:val="nil"/>
              <w:bottom w:val="nil"/>
              <w:right w:val="nil"/>
            </w:tcBorders>
            <w:shd w:val="clear" w:color="auto" w:fill="auto"/>
            <w:vAlign w:val="bottom"/>
          </w:tcPr>
          <w:p>
            <w:pPr>
              <w:widowControl/>
              <w:jc w:val="left"/>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注：</w:t>
            </w:r>
            <w:r>
              <w:rPr>
                <w:rFonts w:hint="eastAsia" w:ascii="Times New Roman" w:hAnsi="Times New Roman" w:cs="Times New Roman"/>
                <w:color w:val="000000"/>
                <w:kern w:val="0"/>
                <w:sz w:val="22"/>
                <w:szCs w:val="22"/>
              </w:rPr>
              <w:t>本表反映部门本</w:t>
            </w:r>
            <w:r>
              <w:rPr>
                <w:rFonts w:ascii="Times New Roman" w:hAnsi="Times New Roman" w:cs="Times New Roman"/>
                <w:color w:val="000000"/>
                <w:kern w:val="0"/>
                <w:sz w:val="22"/>
                <w:szCs w:val="22"/>
              </w:rPr>
              <w:t>年度</w:t>
            </w:r>
            <w:r>
              <w:rPr>
                <w:rFonts w:hint="eastAsia" w:ascii="Times New Roman" w:hAnsi="Times New Roman" w:cs="Times New Roman"/>
                <w:color w:val="000000"/>
                <w:kern w:val="0"/>
                <w:sz w:val="22"/>
                <w:szCs w:val="22"/>
              </w:rPr>
              <w:t>财政拨款</w:t>
            </w:r>
            <w:r>
              <w:rPr>
                <w:rFonts w:ascii="Times New Roman" w:hAnsi="Times New Roman" w:cs="Times New Roman"/>
                <w:color w:val="000000"/>
                <w:kern w:val="0"/>
                <w:sz w:val="22"/>
                <w:szCs w:val="22"/>
              </w:rPr>
              <w:t>“三公”经费</w:t>
            </w:r>
            <w:r>
              <w:rPr>
                <w:rFonts w:hint="eastAsia" w:ascii="Times New Roman" w:hAnsi="Times New Roman" w:cs="Times New Roman"/>
                <w:color w:val="000000"/>
                <w:kern w:val="0"/>
                <w:sz w:val="22"/>
                <w:szCs w:val="22"/>
              </w:rPr>
              <w:t>支出预决算情况。其中，</w:t>
            </w:r>
            <w:r>
              <w:rPr>
                <w:rFonts w:hint="eastAsia" w:ascii="Times New Roman" w:hAnsi="Times New Roman" w:cs="Times New Roman"/>
                <w:color w:val="000000"/>
                <w:kern w:val="0"/>
                <w:sz w:val="22"/>
                <w:szCs w:val="22"/>
                <w:lang w:eastAsia="zh-CN"/>
              </w:rPr>
              <w:t>2025年</w:t>
            </w:r>
            <w:r>
              <w:rPr>
                <w:rFonts w:hint="eastAsia" w:ascii="Times New Roman" w:hAnsi="Times New Roman" w:cs="Times New Roman"/>
                <w:color w:val="000000"/>
                <w:kern w:val="0"/>
                <w:sz w:val="22"/>
                <w:szCs w:val="22"/>
              </w:rPr>
              <w:t>度预算数为“三公”经费全年预算数，</w:t>
            </w:r>
            <w:r>
              <w:rPr>
                <w:rFonts w:ascii="Times New Roman" w:hAnsi="Times New Roman" w:cs="Times New Roman"/>
                <w:color w:val="000000"/>
                <w:kern w:val="0"/>
                <w:sz w:val="22"/>
                <w:szCs w:val="22"/>
              </w:rPr>
              <w:t>反映按规定程序调整后的预算数；决算数是包括当年财政拨款和以前年度结转结余资金安排的实际支出，决算数据取自F03表。</w:t>
            </w:r>
          </w:p>
        </w:tc>
      </w:tr>
    </w:tbl>
    <w:p>
      <w:pPr>
        <w:spacing w:line="580" w:lineRule="exact"/>
        <w:rPr>
          <w:rFonts w:ascii="Times New Roman" w:hAnsi="Times New Roman" w:cs="Times New Roman"/>
        </w:rPr>
      </w:pPr>
    </w:p>
    <w:p>
      <w:pPr>
        <w:spacing w:line="580" w:lineRule="exact"/>
        <w:rPr>
          <w:rFonts w:ascii="Times New Roman" w:hAnsi="Times New Roman" w:cs="Times New Roman"/>
        </w:rPr>
      </w:pPr>
    </w:p>
    <w:p>
      <w:pPr>
        <w:spacing w:line="580" w:lineRule="exact"/>
        <w:rPr>
          <w:rFonts w:ascii="Times New Roman" w:hAnsi="Times New Roman" w:cs="Times New Roman"/>
        </w:rPr>
      </w:pPr>
    </w:p>
    <w:tbl>
      <w:tblPr>
        <w:tblStyle w:val="10"/>
        <w:tblW w:w="13260" w:type="dxa"/>
        <w:jc w:val="center"/>
        <w:tblLayout w:type="fixed"/>
        <w:tblCellMar>
          <w:top w:w="0" w:type="dxa"/>
          <w:left w:w="108" w:type="dxa"/>
          <w:bottom w:w="0" w:type="dxa"/>
          <w:right w:w="108" w:type="dxa"/>
        </w:tblCellMar>
      </w:tblPr>
      <w:tblGrid>
        <w:gridCol w:w="434"/>
        <w:gridCol w:w="435"/>
        <w:gridCol w:w="534"/>
        <w:gridCol w:w="1591"/>
        <w:gridCol w:w="1576"/>
        <w:gridCol w:w="1575"/>
        <w:gridCol w:w="1576"/>
        <w:gridCol w:w="1576"/>
        <w:gridCol w:w="1576"/>
        <w:gridCol w:w="2387"/>
      </w:tblGrid>
      <w:tr>
        <w:tblPrEx>
          <w:tblCellMar>
            <w:top w:w="0" w:type="dxa"/>
            <w:left w:w="108" w:type="dxa"/>
            <w:bottom w:w="0" w:type="dxa"/>
            <w:right w:w="108" w:type="dxa"/>
          </w:tblCellMar>
        </w:tblPrEx>
        <w:trPr>
          <w:trHeight w:val="744" w:hRule="atLeast"/>
          <w:jc w:val="center"/>
        </w:trPr>
        <w:tc>
          <w:tcPr>
            <w:tcW w:w="13260" w:type="dxa"/>
            <w:gridSpan w:val="10"/>
            <w:vMerge w:val="restart"/>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r>
              <w:rPr>
                <w:rFonts w:ascii="Times New Roman" w:hAnsi="Times New Roman" w:cs="Times New Roman"/>
                <w:b/>
                <w:bCs/>
                <w:color w:val="000000"/>
                <w:kern w:val="0"/>
                <w:sz w:val="36"/>
                <w:szCs w:val="36"/>
              </w:rPr>
              <w:t>政府性基金预算财政拨款收入支出决算表</w:t>
            </w:r>
          </w:p>
        </w:tc>
      </w:tr>
      <w:tr>
        <w:tblPrEx>
          <w:tblCellMar>
            <w:top w:w="0" w:type="dxa"/>
            <w:left w:w="108" w:type="dxa"/>
            <w:bottom w:w="0" w:type="dxa"/>
            <w:right w:w="108" w:type="dxa"/>
          </w:tblCellMar>
        </w:tblPrEx>
        <w:trPr>
          <w:trHeight w:val="744" w:hRule="atLeast"/>
          <w:jc w:val="center"/>
        </w:trPr>
        <w:tc>
          <w:tcPr>
            <w:tcW w:w="13260" w:type="dxa"/>
            <w:gridSpan w:val="10"/>
            <w:vMerge w:val="continue"/>
            <w:tcBorders>
              <w:top w:val="nil"/>
              <w:left w:val="nil"/>
              <w:bottom w:val="nil"/>
              <w:right w:val="nil"/>
            </w:tcBorders>
            <w:vAlign w:val="center"/>
          </w:tcPr>
          <w:p>
            <w:pPr>
              <w:widowControl/>
              <w:jc w:val="left"/>
              <w:rPr>
                <w:rFonts w:ascii="Times New Roman" w:hAnsi="Times New Roman" w:cs="Times New Roman"/>
                <w:color w:val="000000"/>
                <w:kern w:val="0"/>
                <w:sz w:val="36"/>
                <w:szCs w:val="36"/>
              </w:rPr>
            </w:pPr>
          </w:p>
        </w:tc>
      </w:tr>
      <w:tr>
        <w:tblPrEx>
          <w:tblCellMar>
            <w:top w:w="0" w:type="dxa"/>
            <w:left w:w="108" w:type="dxa"/>
            <w:bottom w:w="0" w:type="dxa"/>
            <w:right w:w="108" w:type="dxa"/>
          </w:tblCellMar>
        </w:tblPrEx>
        <w:trPr>
          <w:trHeight w:val="765" w:hRule="atLeast"/>
          <w:jc w:val="center"/>
        </w:trPr>
        <w:tc>
          <w:tcPr>
            <w:tcW w:w="434"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435"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534"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1591"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1576"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1575"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1576"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1576"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1576"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36"/>
                <w:szCs w:val="36"/>
              </w:rPr>
            </w:pPr>
          </w:p>
        </w:tc>
        <w:tc>
          <w:tcPr>
            <w:tcW w:w="2387" w:type="dxa"/>
            <w:tcBorders>
              <w:top w:val="nil"/>
              <w:left w:val="nil"/>
              <w:bottom w:val="nil"/>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 xml:space="preserve">        公开08表</w:t>
            </w:r>
          </w:p>
        </w:tc>
      </w:tr>
      <w:tr>
        <w:tblPrEx>
          <w:tblCellMar>
            <w:top w:w="0" w:type="dxa"/>
            <w:left w:w="108" w:type="dxa"/>
            <w:bottom w:w="0" w:type="dxa"/>
            <w:right w:w="108" w:type="dxa"/>
          </w:tblCellMar>
        </w:tblPrEx>
        <w:trPr>
          <w:trHeight w:val="510" w:hRule="atLeast"/>
          <w:jc w:val="center"/>
        </w:trPr>
        <w:tc>
          <w:tcPr>
            <w:tcW w:w="4570" w:type="dxa"/>
            <w:gridSpan w:val="5"/>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4"/>
              </w:rPr>
              <w:t>公开部门：</w:t>
            </w:r>
            <w:r>
              <w:rPr>
                <w:rFonts w:hint="eastAsia" w:ascii="Times New Roman" w:hAnsi="Times New Roman" w:cs="Times New Roman"/>
                <w:color w:val="000000"/>
                <w:kern w:val="0"/>
                <w:sz w:val="24"/>
                <w:lang w:eastAsia="zh-CN"/>
              </w:rPr>
              <w:t>中卫市红十字会</w:t>
            </w:r>
          </w:p>
        </w:tc>
        <w:tc>
          <w:tcPr>
            <w:tcW w:w="1575"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576"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576"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1576"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387" w:type="dxa"/>
            <w:tcBorders>
              <w:top w:val="nil"/>
              <w:left w:val="nil"/>
              <w:bottom w:val="nil"/>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金额单位：元</w:t>
            </w:r>
          </w:p>
        </w:tc>
      </w:tr>
      <w:tr>
        <w:tblPrEx>
          <w:tblCellMar>
            <w:top w:w="0" w:type="dxa"/>
            <w:left w:w="108" w:type="dxa"/>
            <w:bottom w:w="0" w:type="dxa"/>
            <w:right w:w="108" w:type="dxa"/>
          </w:tblCellMar>
        </w:tblPrEx>
        <w:trPr>
          <w:trHeight w:val="482" w:hRule="atLeast"/>
          <w:jc w:val="center"/>
        </w:trPr>
        <w:tc>
          <w:tcPr>
            <w:tcW w:w="299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w:t>
            </w:r>
          </w:p>
        </w:tc>
        <w:tc>
          <w:tcPr>
            <w:tcW w:w="15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年初结转和结余</w:t>
            </w:r>
          </w:p>
        </w:tc>
        <w:tc>
          <w:tcPr>
            <w:tcW w:w="1575" w:type="dxa"/>
            <w:vMerge w:val="restart"/>
            <w:tcBorders>
              <w:top w:val="single" w:color="auto" w:sz="4" w:space="0"/>
              <w:left w:val="single" w:color="auto" w:sz="4" w:space="0"/>
              <w:bottom w:val="single" w:color="000000" w:sz="4" w:space="0"/>
              <w:right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本年收入</w:t>
            </w:r>
          </w:p>
        </w:tc>
        <w:tc>
          <w:tcPr>
            <w:tcW w:w="47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本年支出</w:t>
            </w:r>
          </w:p>
        </w:tc>
        <w:tc>
          <w:tcPr>
            <w:tcW w:w="23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年末结转和结余</w:t>
            </w:r>
          </w:p>
        </w:tc>
      </w:tr>
      <w:tr>
        <w:tblPrEx>
          <w:tblCellMar>
            <w:top w:w="0" w:type="dxa"/>
            <w:left w:w="108" w:type="dxa"/>
            <w:bottom w:w="0" w:type="dxa"/>
            <w:right w:w="108" w:type="dxa"/>
          </w:tblCellMar>
        </w:tblPrEx>
        <w:trPr>
          <w:trHeight w:val="482" w:hRule="atLeast"/>
          <w:jc w:val="center"/>
        </w:trPr>
        <w:tc>
          <w:tcPr>
            <w:tcW w:w="140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功能分类科目编码</w:t>
            </w:r>
          </w:p>
        </w:tc>
        <w:tc>
          <w:tcPr>
            <w:tcW w:w="159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科目名称</w:t>
            </w:r>
          </w:p>
        </w:tc>
        <w:tc>
          <w:tcPr>
            <w:tcW w:w="15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5" w:type="dxa"/>
            <w:vMerge w:val="continue"/>
            <w:tcBorders>
              <w:top w:val="single" w:color="auto" w:sz="4" w:space="0"/>
              <w:left w:val="single" w:color="auto" w:sz="4" w:space="0"/>
              <w:bottom w:val="single" w:color="000000" w:sz="4" w:space="0"/>
              <w:right w:val="nil"/>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小计</w:t>
            </w:r>
          </w:p>
        </w:tc>
        <w:tc>
          <w:tcPr>
            <w:tcW w:w="157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基本支出</w:t>
            </w:r>
          </w:p>
        </w:tc>
        <w:tc>
          <w:tcPr>
            <w:tcW w:w="157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项目支出</w:t>
            </w:r>
          </w:p>
        </w:tc>
        <w:tc>
          <w:tcPr>
            <w:tcW w:w="238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1403"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9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5" w:type="dxa"/>
            <w:vMerge w:val="continue"/>
            <w:tcBorders>
              <w:top w:val="single" w:color="auto" w:sz="4" w:space="0"/>
              <w:left w:val="single" w:color="auto" w:sz="4" w:space="0"/>
              <w:bottom w:val="single" w:color="000000" w:sz="4" w:space="0"/>
              <w:right w:val="nil"/>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23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1403"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9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5" w:type="dxa"/>
            <w:vMerge w:val="continue"/>
            <w:tcBorders>
              <w:top w:val="single" w:color="auto" w:sz="4" w:space="0"/>
              <w:left w:val="single" w:color="auto" w:sz="4" w:space="0"/>
              <w:bottom w:val="single" w:color="000000" w:sz="4" w:space="0"/>
              <w:right w:val="nil"/>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1576"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c>
          <w:tcPr>
            <w:tcW w:w="23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4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类</w:t>
            </w:r>
          </w:p>
        </w:tc>
        <w:tc>
          <w:tcPr>
            <w:tcW w:w="43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款</w:t>
            </w:r>
          </w:p>
        </w:tc>
        <w:tc>
          <w:tcPr>
            <w:tcW w:w="5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w:t>
            </w:r>
          </w:p>
        </w:tc>
        <w:tc>
          <w:tcPr>
            <w:tcW w:w="1591" w:type="dxa"/>
            <w:tcBorders>
              <w:top w:val="nil"/>
              <w:left w:val="nil"/>
              <w:bottom w:val="single" w:color="auto" w:sz="4" w:space="0"/>
              <w:right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栏次</w:t>
            </w:r>
          </w:p>
        </w:tc>
        <w:tc>
          <w:tcPr>
            <w:tcW w:w="15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2</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3</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4</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5</w:t>
            </w: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6</w:t>
            </w:r>
          </w:p>
        </w:tc>
      </w:tr>
      <w:tr>
        <w:tblPrEx>
          <w:tblCellMar>
            <w:top w:w="0" w:type="dxa"/>
            <w:left w:w="108" w:type="dxa"/>
            <w:bottom w:w="0" w:type="dxa"/>
            <w:right w:w="108" w:type="dxa"/>
          </w:tblCellMar>
        </w:tblPrEx>
        <w:trPr>
          <w:trHeight w:val="482" w:hRule="atLeast"/>
          <w:jc w:val="center"/>
        </w:trPr>
        <w:tc>
          <w:tcPr>
            <w:tcW w:w="434"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435"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0"/>
                <w:szCs w:val="20"/>
              </w:rPr>
            </w:pPr>
          </w:p>
        </w:tc>
        <w:tc>
          <w:tcPr>
            <w:tcW w:w="534"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1591" w:type="dxa"/>
            <w:tcBorders>
              <w:top w:val="nil"/>
              <w:left w:val="nil"/>
              <w:bottom w:val="single" w:color="auto" w:sz="4" w:space="0"/>
              <w:right w:val="nil"/>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合计</w:t>
            </w:r>
          </w:p>
        </w:tc>
        <w:tc>
          <w:tcPr>
            <w:tcW w:w="157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r>
      <w:tr>
        <w:tblPrEx>
          <w:tblCellMar>
            <w:top w:w="0" w:type="dxa"/>
            <w:left w:w="108" w:type="dxa"/>
            <w:bottom w:w="0" w:type="dxa"/>
            <w:right w:w="108" w:type="dxa"/>
          </w:tblCellMar>
        </w:tblPrEx>
        <w:trPr>
          <w:trHeight w:val="482" w:hRule="atLeast"/>
          <w:jc w:val="center"/>
        </w:trPr>
        <w:tc>
          <w:tcPr>
            <w:tcW w:w="1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无</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hint="eastAsia" w:ascii="Times New Roman" w:hAnsi="Times New Roman" w:cs="Times New Roman"/>
                <w:color w:val="000000"/>
                <w:kern w:val="0"/>
                <w:sz w:val="18"/>
                <w:szCs w:val="18"/>
                <w:lang w:val="en-US" w:eastAsia="zh-CN"/>
              </w:rPr>
              <w:t>0</w:t>
            </w:r>
          </w:p>
        </w:tc>
      </w:tr>
      <w:tr>
        <w:tblPrEx>
          <w:tblCellMar>
            <w:top w:w="0" w:type="dxa"/>
            <w:left w:w="108" w:type="dxa"/>
            <w:bottom w:w="0" w:type="dxa"/>
            <w:right w:w="108" w:type="dxa"/>
          </w:tblCellMar>
        </w:tblPrEx>
        <w:trPr>
          <w:trHeight w:val="482" w:hRule="atLeast"/>
          <w:jc w:val="center"/>
        </w:trPr>
        <w:tc>
          <w:tcPr>
            <w:tcW w:w="1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1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1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1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238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jc w:val="center"/>
        </w:trPr>
        <w:tc>
          <w:tcPr>
            <w:tcW w:w="1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745" w:hRule="atLeast"/>
          <w:jc w:val="center"/>
        </w:trPr>
        <w:tc>
          <w:tcPr>
            <w:tcW w:w="13260" w:type="dxa"/>
            <w:gridSpan w:val="10"/>
            <w:tcBorders>
              <w:top w:val="single" w:color="auto" w:sz="4" w:space="0"/>
              <w:left w:val="nil"/>
              <w:bottom w:val="nil"/>
              <w:right w:val="nil"/>
            </w:tcBorders>
            <w:shd w:val="clear" w:color="auto" w:fill="auto"/>
            <w:vAlign w:val="center"/>
          </w:tcPr>
          <w:p>
            <w:pPr>
              <w:widowControl/>
              <w:jc w:val="left"/>
              <w:rPr>
                <w:rFonts w:hint="eastAsia" w:ascii="Times New Roman" w:hAnsi="Times New Roman" w:cs="Times New Roman" w:eastAsiaTheme="minorEastAsia"/>
                <w:color w:val="000000"/>
                <w:kern w:val="0"/>
                <w:sz w:val="22"/>
                <w:szCs w:val="22"/>
                <w:lang w:eastAsia="zh-CN"/>
              </w:rPr>
            </w:pPr>
            <w:r>
              <w:rPr>
                <w:rFonts w:ascii="Times New Roman" w:hAnsi="Times New Roman" w:cs="Times New Roman"/>
                <w:color w:val="000000"/>
                <w:kern w:val="0"/>
                <w:sz w:val="22"/>
                <w:szCs w:val="22"/>
              </w:rPr>
              <w:t>注：本表反映部门本年度政府性基金预算财政拨款收入支出及结转结余情况,数据取自财决09表</w:t>
            </w:r>
            <w:r>
              <w:rPr>
                <w:rFonts w:hint="eastAsia" w:ascii="Times New Roman" w:hAnsi="Times New Roman" w:cs="Times New Roman"/>
                <w:color w:val="000000"/>
                <w:kern w:val="0"/>
                <w:sz w:val="22"/>
                <w:szCs w:val="22"/>
                <w:lang w:eastAsia="zh-CN"/>
              </w:rPr>
              <w:t>。</w:t>
            </w:r>
          </w:p>
        </w:tc>
      </w:tr>
    </w:tbl>
    <w:tbl>
      <w:tblPr>
        <w:tblStyle w:val="10"/>
        <w:tblpPr w:leftFromText="180" w:rightFromText="180" w:vertAnchor="text" w:horzAnchor="page" w:tblpX="2383" w:tblpY="1011"/>
        <w:tblOverlap w:val="never"/>
        <w:tblW w:w="12765" w:type="dxa"/>
        <w:tblInd w:w="0" w:type="dxa"/>
        <w:tblLayout w:type="fixed"/>
        <w:tblCellMar>
          <w:top w:w="0" w:type="dxa"/>
          <w:left w:w="108" w:type="dxa"/>
          <w:bottom w:w="0" w:type="dxa"/>
          <w:right w:w="108" w:type="dxa"/>
        </w:tblCellMar>
      </w:tblPr>
      <w:tblGrid>
        <w:gridCol w:w="2104"/>
        <w:gridCol w:w="482"/>
        <w:gridCol w:w="242"/>
        <w:gridCol w:w="240"/>
        <w:gridCol w:w="517"/>
        <w:gridCol w:w="2040"/>
        <w:gridCol w:w="2265"/>
        <w:gridCol w:w="2235"/>
        <w:gridCol w:w="2640"/>
      </w:tblGrid>
      <w:tr>
        <w:tblPrEx>
          <w:tblCellMar>
            <w:top w:w="0" w:type="dxa"/>
            <w:left w:w="108" w:type="dxa"/>
            <w:bottom w:w="0" w:type="dxa"/>
            <w:right w:w="108" w:type="dxa"/>
          </w:tblCellMar>
        </w:tblPrEx>
        <w:trPr>
          <w:trHeight w:val="1471" w:hRule="atLeast"/>
        </w:trPr>
        <w:tc>
          <w:tcPr>
            <w:tcW w:w="12765" w:type="dxa"/>
            <w:gridSpan w:val="9"/>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44"/>
                <w:szCs w:val="44"/>
              </w:rPr>
            </w:pPr>
            <w:r>
              <w:rPr>
                <w:rFonts w:ascii="Times New Roman" w:hAnsi="Times New Roman" w:cs="Times New Roman"/>
                <w:b/>
                <w:bCs/>
                <w:color w:val="000000"/>
                <w:kern w:val="0"/>
                <w:sz w:val="36"/>
                <w:szCs w:val="36"/>
              </w:rPr>
              <w:t>国有资本经营预算财政拨款支出决算表</w:t>
            </w:r>
          </w:p>
        </w:tc>
      </w:tr>
      <w:tr>
        <w:tblPrEx>
          <w:tblCellMar>
            <w:top w:w="0" w:type="dxa"/>
            <w:left w:w="108" w:type="dxa"/>
            <w:bottom w:w="0" w:type="dxa"/>
            <w:right w:w="108" w:type="dxa"/>
          </w:tblCellMar>
        </w:tblPrEx>
        <w:trPr>
          <w:trHeight w:val="482" w:hRule="atLeast"/>
        </w:trPr>
        <w:tc>
          <w:tcPr>
            <w:tcW w:w="2104"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82"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482"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557" w:type="dxa"/>
            <w:gridSpan w:val="2"/>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265"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235"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640" w:type="dxa"/>
            <w:tcBorders>
              <w:top w:val="nil"/>
              <w:left w:val="nil"/>
              <w:bottom w:val="nil"/>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公开09表</w:t>
            </w:r>
          </w:p>
        </w:tc>
      </w:tr>
      <w:tr>
        <w:tblPrEx>
          <w:tblCellMar>
            <w:top w:w="0" w:type="dxa"/>
            <w:left w:w="108" w:type="dxa"/>
            <w:bottom w:w="0" w:type="dxa"/>
            <w:right w:w="108" w:type="dxa"/>
          </w:tblCellMar>
        </w:tblPrEx>
        <w:trPr>
          <w:trHeight w:val="482" w:hRule="atLeast"/>
        </w:trPr>
        <w:tc>
          <w:tcPr>
            <w:tcW w:w="5625" w:type="dxa"/>
            <w:gridSpan w:val="6"/>
            <w:tcBorders>
              <w:top w:val="nil"/>
              <w:left w:val="nil"/>
              <w:bottom w:val="nil"/>
              <w:right w:val="nil"/>
            </w:tcBorders>
            <w:shd w:val="clear" w:color="auto" w:fill="auto"/>
            <w:vAlign w:val="bottom"/>
          </w:tcPr>
          <w:p>
            <w:pPr>
              <w:widowControl/>
              <w:jc w:val="left"/>
              <w:rPr>
                <w:rFonts w:hint="eastAsia" w:ascii="Times New Roman" w:hAnsi="Times New Roman" w:cs="Times New Roman" w:eastAsiaTheme="minorEastAsia"/>
                <w:color w:val="000000"/>
                <w:kern w:val="0"/>
                <w:sz w:val="24"/>
                <w:lang w:eastAsia="zh-CN"/>
              </w:rPr>
            </w:pPr>
            <w:r>
              <w:rPr>
                <w:rFonts w:ascii="Times New Roman" w:hAnsi="Times New Roman" w:cs="Times New Roman"/>
                <w:color w:val="000000"/>
                <w:kern w:val="0"/>
                <w:sz w:val="24"/>
              </w:rPr>
              <w:t>公开部门：</w:t>
            </w:r>
            <w:r>
              <w:rPr>
                <w:rFonts w:hint="eastAsia" w:ascii="Times New Roman" w:hAnsi="Times New Roman" w:cs="Times New Roman"/>
                <w:color w:val="000000"/>
                <w:kern w:val="0"/>
                <w:sz w:val="24"/>
                <w:lang w:eastAsia="zh-CN"/>
              </w:rPr>
              <w:t>中卫市红十字会</w:t>
            </w:r>
          </w:p>
        </w:tc>
        <w:tc>
          <w:tcPr>
            <w:tcW w:w="2265" w:type="dxa"/>
            <w:tcBorders>
              <w:top w:val="nil"/>
              <w:left w:val="nil"/>
              <w:bottom w:val="nil"/>
              <w:right w:val="nil"/>
            </w:tcBorders>
            <w:shd w:val="clear" w:color="auto" w:fill="auto"/>
            <w:vAlign w:val="bottom"/>
          </w:tcPr>
          <w:p>
            <w:pPr>
              <w:widowControl/>
              <w:jc w:val="left"/>
              <w:rPr>
                <w:rFonts w:ascii="Times New Roman" w:hAnsi="Times New Roman" w:cs="Times New Roman"/>
                <w:color w:val="000000"/>
                <w:kern w:val="0"/>
                <w:sz w:val="20"/>
                <w:szCs w:val="20"/>
              </w:rPr>
            </w:pPr>
          </w:p>
        </w:tc>
        <w:tc>
          <w:tcPr>
            <w:tcW w:w="2235" w:type="dxa"/>
            <w:tcBorders>
              <w:top w:val="nil"/>
              <w:left w:val="nil"/>
              <w:bottom w:val="nil"/>
              <w:right w:val="nil"/>
            </w:tcBorders>
            <w:shd w:val="clear" w:color="auto" w:fill="auto"/>
            <w:vAlign w:val="bottom"/>
          </w:tcPr>
          <w:p>
            <w:pPr>
              <w:widowControl/>
              <w:jc w:val="center"/>
              <w:rPr>
                <w:rFonts w:ascii="Times New Roman" w:hAnsi="Times New Roman" w:cs="Times New Roman"/>
                <w:color w:val="000000"/>
                <w:kern w:val="0"/>
                <w:sz w:val="24"/>
              </w:rPr>
            </w:pPr>
          </w:p>
        </w:tc>
        <w:tc>
          <w:tcPr>
            <w:tcW w:w="2640" w:type="dxa"/>
            <w:tcBorders>
              <w:top w:val="nil"/>
              <w:left w:val="nil"/>
              <w:bottom w:val="nil"/>
              <w:right w:val="nil"/>
            </w:tcBorders>
            <w:shd w:val="clear" w:color="auto" w:fill="auto"/>
            <w:vAlign w:val="bottom"/>
          </w:tcPr>
          <w:p>
            <w:pPr>
              <w:widowControl/>
              <w:jc w:val="right"/>
              <w:rPr>
                <w:rFonts w:ascii="Times New Roman" w:hAnsi="Times New Roman" w:cs="Times New Roman"/>
                <w:color w:val="000000"/>
                <w:kern w:val="0"/>
                <w:sz w:val="24"/>
              </w:rPr>
            </w:pPr>
            <w:r>
              <w:rPr>
                <w:rFonts w:ascii="Times New Roman" w:hAnsi="Times New Roman" w:cs="Times New Roman"/>
                <w:color w:val="000000"/>
                <w:kern w:val="0"/>
                <w:sz w:val="24"/>
              </w:rPr>
              <w:t>金额单位：元</w:t>
            </w:r>
          </w:p>
        </w:tc>
      </w:tr>
      <w:tr>
        <w:tblPrEx>
          <w:tblCellMar>
            <w:top w:w="0" w:type="dxa"/>
            <w:left w:w="108" w:type="dxa"/>
            <w:bottom w:w="0" w:type="dxa"/>
            <w:right w:w="108" w:type="dxa"/>
          </w:tblCellMar>
        </w:tblPrEx>
        <w:trPr>
          <w:trHeight w:val="482" w:hRule="atLeast"/>
        </w:trPr>
        <w:tc>
          <w:tcPr>
            <w:tcW w:w="5625" w:type="dxa"/>
            <w:gridSpan w:val="6"/>
            <w:tcBorders>
              <w:top w:val="single" w:color="000000" w:sz="8" w:space="0"/>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w:t>
            </w:r>
          </w:p>
        </w:tc>
        <w:tc>
          <w:tcPr>
            <w:tcW w:w="2265" w:type="dxa"/>
            <w:vMerge w:val="restart"/>
            <w:tcBorders>
              <w:top w:val="single" w:color="000000" w:sz="8" w:space="0"/>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本年支出合计</w:t>
            </w:r>
          </w:p>
        </w:tc>
        <w:tc>
          <w:tcPr>
            <w:tcW w:w="2235" w:type="dxa"/>
            <w:vMerge w:val="restart"/>
            <w:tcBorders>
              <w:top w:val="single" w:color="000000" w:sz="8" w:space="0"/>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基本支出</w:t>
            </w:r>
          </w:p>
        </w:tc>
        <w:tc>
          <w:tcPr>
            <w:tcW w:w="2640" w:type="dxa"/>
            <w:vMerge w:val="restart"/>
            <w:tcBorders>
              <w:top w:val="single" w:color="000000" w:sz="8" w:space="0"/>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项目支出</w:t>
            </w:r>
          </w:p>
        </w:tc>
      </w:tr>
      <w:tr>
        <w:tblPrEx>
          <w:tblCellMar>
            <w:top w:w="0" w:type="dxa"/>
            <w:left w:w="108" w:type="dxa"/>
            <w:bottom w:w="0" w:type="dxa"/>
            <w:right w:w="108" w:type="dxa"/>
          </w:tblCellMar>
        </w:tblPrEx>
        <w:trPr>
          <w:trHeight w:val="482" w:hRule="atLeast"/>
        </w:trPr>
        <w:tc>
          <w:tcPr>
            <w:tcW w:w="3585" w:type="dxa"/>
            <w:gridSpan w:val="5"/>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功能分类科目编码</w:t>
            </w:r>
          </w:p>
        </w:tc>
        <w:tc>
          <w:tcPr>
            <w:tcW w:w="2040"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科目名称</w:t>
            </w:r>
          </w:p>
        </w:tc>
        <w:tc>
          <w:tcPr>
            <w:tcW w:w="2265"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235"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640"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trPr>
        <w:tc>
          <w:tcPr>
            <w:tcW w:w="3585" w:type="dxa"/>
            <w:gridSpan w:val="5"/>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040" w:type="dxa"/>
            <w:vMerge w:val="continue"/>
            <w:tcBorders>
              <w:top w:val="nil"/>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265"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235"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640"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trPr>
        <w:tc>
          <w:tcPr>
            <w:tcW w:w="3585" w:type="dxa"/>
            <w:gridSpan w:val="5"/>
            <w:vMerge w:val="continue"/>
            <w:tcBorders>
              <w:top w:val="single" w:color="000000" w:sz="4" w:space="0"/>
              <w:left w:val="single" w:color="000000" w:sz="8" w:space="0"/>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040" w:type="dxa"/>
            <w:vMerge w:val="continue"/>
            <w:tcBorders>
              <w:top w:val="nil"/>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265"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235"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c>
          <w:tcPr>
            <w:tcW w:w="2640" w:type="dxa"/>
            <w:vMerge w:val="continue"/>
            <w:tcBorders>
              <w:top w:val="single" w:color="000000" w:sz="8" w:space="0"/>
              <w:left w:val="nil"/>
              <w:bottom w:val="single" w:color="000000" w:sz="4" w:space="0"/>
              <w:right w:val="single" w:color="000000" w:sz="4" w:space="0"/>
            </w:tcBorders>
            <w:vAlign w:val="center"/>
          </w:tcPr>
          <w:p>
            <w:pPr>
              <w:widowControl/>
              <w:jc w:val="left"/>
              <w:rPr>
                <w:rFonts w:ascii="Times New Roman" w:hAnsi="Times New Roman" w:cs="Times New Roman"/>
                <w:color w:val="000000"/>
                <w:kern w:val="0"/>
                <w:sz w:val="22"/>
                <w:szCs w:val="22"/>
              </w:rPr>
            </w:pPr>
          </w:p>
        </w:tc>
      </w:tr>
      <w:tr>
        <w:tblPrEx>
          <w:tblCellMar>
            <w:top w:w="0" w:type="dxa"/>
            <w:left w:w="108" w:type="dxa"/>
            <w:bottom w:w="0" w:type="dxa"/>
            <w:right w:w="108" w:type="dxa"/>
          </w:tblCellMar>
        </w:tblPrEx>
        <w:trPr>
          <w:trHeight w:val="482" w:hRule="atLeast"/>
        </w:trPr>
        <w:tc>
          <w:tcPr>
            <w:tcW w:w="2104" w:type="dxa"/>
            <w:vMerge w:val="restart"/>
            <w:tcBorders>
              <w:top w:val="nil"/>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类</w:t>
            </w:r>
          </w:p>
        </w:tc>
        <w:tc>
          <w:tcPr>
            <w:tcW w:w="724" w:type="dxa"/>
            <w:gridSpan w:val="2"/>
            <w:vMerge w:val="restart"/>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款</w:t>
            </w:r>
          </w:p>
        </w:tc>
        <w:tc>
          <w:tcPr>
            <w:tcW w:w="757" w:type="dxa"/>
            <w:gridSpan w:val="2"/>
            <w:vMerge w:val="restart"/>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项</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栏次</w:t>
            </w: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w:t>
            </w: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2</w:t>
            </w: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3</w:t>
            </w:r>
          </w:p>
        </w:tc>
      </w:tr>
      <w:tr>
        <w:tblPrEx>
          <w:tblCellMar>
            <w:top w:w="0" w:type="dxa"/>
            <w:left w:w="108" w:type="dxa"/>
            <w:bottom w:w="0" w:type="dxa"/>
            <w:right w:w="108" w:type="dxa"/>
          </w:tblCellMar>
        </w:tblPrEx>
        <w:trPr>
          <w:trHeight w:val="482" w:hRule="atLeast"/>
        </w:trPr>
        <w:tc>
          <w:tcPr>
            <w:tcW w:w="2104" w:type="dxa"/>
            <w:vMerge w:val="continue"/>
            <w:tcBorders>
              <w:top w:val="nil"/>
              <w:left w:val="single" w:color="000000" w:sz="8" w:space="0"/>
              <w:bottom w:val="single" w:color="000000" w:sz="4" w:space="0"/>
              <w:right w:val="single" w:color="000000"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724" w:type="dxa"/>
            <w:gridSpan w:val="2"/>
            <w:vMerge w:val="continue"/>
            <w:tcBorders>
              <w:top w:val="nil"/>
              <w:left w:val="nil"/>
              <w:bottom w:val="single" w:color="000000" w:sz="4" w:space="0"/>
              <w:right w:val="single" w:color="000000"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757" w:type="dxa"/>
            <w:gridSpan w:val="2"/>
            <w:vMerge w:val="continue"/>
            <w:tcBorders>
              <w:top w:val="nil"/>
              <w:left w:val="nil"/>
              <w:bottom w:val="single" w:color="000000" w:sz="4" w:space="0"/>
              <w:right w:val="single" w:color="000000" w:sz="4" w:space="0"/>
            </w:tcBorders>
            <w:shd w:val="clear" w:color="auto" w:fill="auto"/>
            <w:vAlign w:val="center"/>
          </w:tcPr>
          <w:p>
            <w:pPr>
              <w:widowControl/>
              <w:jc w:val="left"/>
              <w:rPr>
                <w:rFonts w:ascii="Times New Roman" w:hAnsi="Times New Roman" w:cs="Times New Roman"/>
                <w:color w:val="000000"/>
                <w:kern w:val="0"/>
                <w:sz w:val="22"/>
                <w:szCs w:val="22"/>
              </w:rPr>
            </w:pP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合计</w:t>
            </w: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0</w:t>
            </w: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0</w:t>
            </w: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0</w:t>
            </w:r>
          </w:p>
        </w:tc>
      </w:tr>
      <w:tr>
        <w:tblPrEx>
          <w:tblCellMar>
            <w:top w:w="0" w:type="dxa"/>
            <w:left w:w="108" w:type="dxa"/>
            <w:bottom w:w="0" w:type="dxa"/>
            <w:right w:w="108" w:type="dxa"/>
          </w:tblCellMar>
        </w:tblPrEx>
        <w:trPr>
          <w:trHeight w:val="482" w:hRule="atLeast"/>
        </w:trPr>
        <w:tc>
          <w:tcPr>
            <w:tcW w:w="3585" w:type="dxa"/>
            <w:gridSpan w:val="5"/>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hint="eastAsia"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val="en-US" w:eastAsia="zh-CN"/>
              </w:rPr>
              <w:t>无</w:t>
            </w: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hint="eastAsia" w:ascii="Times New Roman" w:hAnsi="Times New Roman" w:cs="Times New Roman" w:eastAsiaTheme="minorEastAsia"/>
                <w:color w:val="000000"/>
                <w:kern w:val="0"/>
                <w:sz w:val="18"/>
                <w:szCs w:val="18"/>
                <w:lang w:val="en-US" w:eastAsia="zh-CN"/>
              </w:rPr>
            </w:pPr>
            <w:r>
              <w:rPr>
                <w:rFonts w:hint="eastAsia" w:ascii="Times New Roman" w:hAnsi="Times New Roman" w:cs="Times New Roman"/>
                <w:color w:val="000000"/>
                <w:kern w:val="0"/>
                <w:sz w:val="18"/>
                <w:szCs w:val="18"/>
                <w:lang w:val="en-US" w:eastAsia="zh-CN"/>
              </w:rPr>
              <w:t>无</w:t>
            </w: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0</w:t>
            </w: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0</w:t>
            </w: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val="en-US" w:eastAsia="zh-CN"/>
              </w:rPr>
              <w:t>0</w:t>
            </w:r>
          </w:p>
        </w:tc>
      </w:tr>
      <w:tr>
        <w:tblPrEx>
          <w:tblCellMar>
            <w:top w:w="0" w:type="dxa"/>
            <w:left w:w="108" w:type="dxa"/>
            <w:bottom w:w="0" w:type="dxa"/>
            <w:right w:w="108" w:type="dxa"/>
          </w:tblCellMar>
        </w:tblPrEx>
        <w:trPr>
          <w:trHeight w:val="482" w:hRule="atLeast"/>
        </w:trPr>
        <w:tc>
          <w:tcPr>
            <w:tcW w:w="3585" w:type="dxa"/>
            <w:gridSpan w:val="5"/>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482" w:hRule="atLeast"/>
        </w:trPr>
        <w:tc>
          <w:tcPr>
            <w:tcW w:w="3585" w:type="dxa"/>
            <w:gridSpan w:val="5"/>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482" w:hRule="atLeast"/>
        </w:trPr>
        <w:tc>
          <w:tcPr>
            <w:tcW w:w="3585" w:type="dxa"/>
            <w:gridSpan w:val="5"/>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482" w:hRule="atLeast"/>
        </w:trPr>
        <w:tc>
          <w:tcPr>
            <w:tcW w:w="3585" w:type="dxa"/>
            <w:gridSpan w:val="5"/>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0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6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35"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640"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482" w:hRule="atLeast"/>
        </w:trPr>
        <w:tc>
          <w:tcPr>
            <w:tcW w:w="3585" w:type="dxa"/>
            <w:gridSpan w:val="5"/>
            <w:tcBorders>
              <w:top w:val="single" w:color="000000" w:sz="4" w:space="0"/>
              <w:left w:val="single" w:color="000000" w:sz="8" w:space="0"/>
              <w:bottom w:val="single" w:color="000000" w:sz="8"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040" w:type="dxa"/>
            <w:tcBorders>
              <w:top w:val="nil"/>
              <w:left w:val="nil"/>
              <w:bottom w:val="single" w:color="000000" w:sz="8"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65" w:type="dxa"/>
            <w:tcBorders>
              <w:top w:val="nil"/>
              <w:left w:val="nil"/>
              <w:bottom w:val="single" w:color="000000" w:sz="8"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235" w:type="dxa"/>
            <w:tcBorders>
              <w:top w:val="nil"/>
              <w:left w:val="nil"/>
              <w:bottom w:val="single" w:color="000000" w:sz="8"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c>
          <w:tcPr>
            <w:tcW w:w="2640" w:type="dxa"/>
            <w:tcBorders>
              <w:top w:val="nil"/>
              <w:left w:val="nil"/>
              <w:bottom w:val="single" w:color="000000" w:sz="8" w:space="0"/>
              <w:right w:val="single" w:color="000000" w:sz="4" w:space="0"/>
            </w:tcBorders>
            <w:shd w:val="clear" w:color="auto" w:fill="auto"/>
            <w:vAlign w:val="center"/>
          </w:tcPr>
          <w:p>
            <w:pPr>
              <w:widowControl/>
              <w:jc w:val="center"/>
              <w:rPr>
                <w:rFonts w:ascii="Times New Roman" w:hAnsi="Times New Roman" w:cs="Times New Roman"/>
                <w:color w:val="000000"/>
                <w:kern w:val="0"/>
                <w:sz w:val="18"/>
                <w:szCs w:val="18"/>
              </w:rPr>
            </w:pPr>
          </w:p>
        </w:tc>
      </w:tr>
      <w:tr>
        <w:tblPrEx>
          <w:tblCellMar>
            <w:top w:w="0" w:type="dxa"/>
            <w:left w:w="108" w:type="dxa"/>
            <w:bottom w:w="0" w:type="dxa"/>
            <w:right w:w="108" w:type="dxa"/>
          </w:tblCellMar>
        </w:tblPrEx>
        <w:trPr>
          <w:trHeight w:val="660" w:hRule="atLeast"/>
        </w:trPr>
        <w:tc>
          <w:tcPr>
            <w:tcW w:w="12765" w:type="dxa"/>
            <w:gridSpan w:val="9"/>
            <w:tcBorders>
              <w:top w:val="single" w:color="000000" w:sz="8" w:space="0"/>
              <w:left w:val="nil"/>
              <w:bottom w:val="nil"/>
              <w:right w:val="nil"/>
            </w:tcBorders>
            <w:shd w:val="clear" w:color="auto" w:fill="auto"/>
            <w:vAlign w:val="bottom"/>
          </w:tcPr>
          <w:p>
            <w:pPr>
              <w:widowControl/>
              <w:jc w:val="left"/>
              <w:rPr>
                <w:rFonts w:hint="eastAsia" w:ascii="Times New Roman" w:hAnsi="Times New Roman" w:cs="Times New Roman" w:eastAsiaTheme="minorEastAsia"/>
                <w:color w:val="000000"/>
                <w:kern w:val="0"/>
                <w:sz w:val="22"/>
                <w:szCs w:val="22"/>
                <w:lang w:eastAsia="zh-CN"/>
              </w:rPr>
            </w:pPr>
            <w:r>
              <w:rPr>
                <w:rFonts w:ascii="Times New Roman" w:hAnsi="Times New Roman" w:cs="Times New Roman"/>
                <w:color w:val="000000"/>
                <w:kern w:val="0"/>
                <w:sz w:val="22"/>
                <w:szCs w:val="22"/>
              </w:rPr>
              <w:t>注：本表反映部门本年度国有资本预算财政拨款支出情况，数据取自财决11表</w:t>
            </w:r>
            <w:r>
              <w:rPr>
                <w:rFonts w:hint="eastAsia" w:ascii="Times New Roman" w:hAnsi="Times New Roman" w:cs="Times New Roman"/>
                <w:color w:val="000000"/>
                <w:kern w:val="0"/>
                <w:sz w:val="22"/>
                <w:szCs w:val="22"/>
                <w:lang w:eastAsia="zh-CN"/>
              </w:rPr>
              <w:t>。</w:t>
            </w:r>
          </w:p>
        </w:tc>
      </w:tr>
    </w:tbl>
    <w:p>
      <w:pPr>
        <w:spacing w:line="580" w:lineRule="exact"/>
        <w:rPr>
          <w:rFonts w:ascii="Times New Roman" w:hAnsi="Times New Roman" w:cs="Times New Roman"/>
        </w:rPr>
      </w:pPr>
    </w:p>
    <w:p>
      <w:pPr>
        <w:spacing w:line="580" w:lineRule="exact"/>
        <w:rPr>
          <w:rFonts w:ascii="Times New Roman" w:hAnsi="Times New Roman" w:cs="Times New Roman"/>
        </w:rPr>
        <w:sectPr>
          <w:pgSz w:w="16838" w:h="11906" w:orient="landscape"/>
          <w:pgMar w:top="283" w:right="720" w:bottom="57" w:left="720" w:header="851" w:footer="992" w:gutter="0"/>
          <w:pgBorders>
            <w:top w:val="none" w:sz="0" w:space="0"/>
            <w:left w:val="none" w:sz="0" w:space="0"/>
            <w:bottom w:val="none" w:sz="0" w:space="0"/>
            <w:right w:val="none" w:sz="0" w:space="0"/>
          </w:pgBorders>
          <w:cols w:space="0" w:num="1"/>
          <w:rtlGutter w:val="0"/>
          <w:docGrid w:type="linesAndChars" w:linePitch="321" w:charSpace="0"/>
        </w:sectPr>
      </w:pPr>
    </w:p>
    <w:p>
      <w:pPr>
        <w:keepLines w:val="0"/>
        <w:pageBreakBefore w:val="0"/>
        <w:kinsoku/>
        <w:wordWrap/>
        <w:topLinePunct w:val="0"/>
        <w:bidi w:val="0"/>
        <w:spacing w:line="560" w:lineRule="exact"/>
        <w:ind w:left="0" w:leftChars="0" w:right="0" w:rightChars="0" w:firstLine="176" w:firstLineChars="49"/>
        <w:jc w:val="center"/>
        <w:textAlignment w:val="auto"/>
        <w:outlineLvl w:val="1"/>
        <w:rPr>
          <w:rFonts w:ascii="Times New Roman" w:hAnsi="Times New Roman" w:eastAsia="黑体" w:cs="Times New Roman"/>
          <w:kern w:val="0"/>
          <w:sz w:val="36"/>
          <w:szCs w:val="36"/>
        </w:rPr>
      </w:pPr>
      <w:r>
        <w:rPr>
          <w:rFonts w:ascii="Times New Roman" w:hAnsi="Times New Roman" w:eastAsia="黑体" w:cs="Times New Roman"/>
          <w:kern w:val="0"/>
          <w:sz w:val="36"/>
          <w:szCs w:val="36"/>
        </w:rPr>
        <w:t xml:space="preserve">第三部分 </w:t>
      </w:r>
      <w:r>
        <w:rPr>
          <w:rFonts w:hint="eastAsia" w:ascii="Times New Roman" w:hAnsi="Times New Roman" w:eastAsia="黑体" w:cs="Times New Roman"/>
          <w:kern w:val="0"/>
          <w:sz w:val="36"/>
          <w:szCs w:val="36"/>
          <w:lang w:eastAsia="zh-CN"/>
        </w:rPr>
        <w:t>2025年</w:t>
      </w:r>
      <w:r>
        <w:rPr>
          <w:rFonts w:ascii="Times New Roman" w:hAnsi="Times New Roman" w:eastAsia="黑体" w:cs="Times New Roman"/>
          <w:kern w:val="0"/>
          <w:sz w:val="36"/>
          <w:szCs w:val="36"/>
        </w:rPr>
        <w:t>度部门决算情况说明</w:t>
      </w:r>
    </w:p>
    <w:p>
      <w:pPr>
        <w:keepLines w:val="0"/>
        <w:pageBreakBefore w:val="0"/>
        <w:kinsoku/>
        <w:wordWrap/>
        <w:topLinePunct w:val="0"/>
        <w:bidi w:val="0"/>
        <w:spacing w:line="560" w:lineRule="exact"/>
        <w:ind w:left="0" w:leftChars="0" w:right="0" w:rightChars="0" w:firstLine="176" w:firstLineChars="49"/>
        <w:jc w:val="both"/>
        <w:textAlignment w:val="auto"/>
        <w:outlineLvl w:val="1"/>
        <w:rPr>
          <w:rFonts w:ascii="Times New Roman" w:hAnsi="Times New Roman" w:eastAsia="黑体" w:cs="Times New Roman"/>
          <w:kern w:val="0"/>
          <w:sz w:val="36"/>
          <w:szCs w:val="36"/>
        </w:rPr>
      </w:pPr>
    </w:p>
    <w:p>
      <w:pPr>
        <w:keepLines w:val="0"/>
        <w:pageBreakBefore w:val="0"/>
        <w:kinsoku/>
        <w:wordWrap/>
        <w:overflowPunct w:val="0"/>
        <w:topLinePunct w:val="0"/>
        <w:bidi w:val="0"/>
        <w:spacing w:line="560" w:lineRule="exact"/>
        <w:ind w:left="0" w:leftChars="0" w:right="0" w:rightChars="0" w:firstLine="643" w:firstLineChars="200"/>
        <w:jc w:val="both"/>
        <w:textAlignment w:val="auto"/>
        <w:outlineLvl w:val="1"/>
        <w:rPr>
          <w:rFonts w:ascii="Times New Roman" w:hAnsi="Times New Roman" w:eastAsia="黑体" w:cs="Times New Roman"/>
          <w:kern w:val="0"/>
          <w:sz w:val="32"/>
          <w:szCs w:val="32"/>
        </w:rPr>
      </w:pPr>
      <w:r>
        <w:rPr>
          <w:rFonts w:ascii="Times New Roman" w:hAnsi="Times New Roman" w:eastAsia="楷体_GB2312" w:cs="Times New Roman"/>
          <w:b/>
          <w:bCs/>
          <w:kern w:val="0"/>
          <w:sz w:val="32"/>
          <w:szCs w:val="32"/>
        </w:rPr>
        <w:t>一、收入支出决算总体情况说明</w:t>
      </w:r>
    </w:p>
    <w:p>
      <w:pPr>
        <w:keepLines w:val="0"/>
        <w:pageBreakBefore w:val="0"/>
        <w:kinsoku/>
        <w:wordWrap/>
        <w:topLinePunct w:val="0"/>
        <w:autoSpaceDE w:val="0"/>
        <w:autoSpaceDN w:val="0"/>
        <w:bidi w:val="0"/>
        <w:adjustRightInd w:val="0"/>
        <w:spacing w:line="560" w:lineRule="exact"/>
        <w:ind w:left="0" w:leftChars="0" w:right="0" w:righ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kern w:val="0"/>
          <w:sz w:val="32"/>
          <w:szCs w:val="32"/>
          <w:lang w:eastAsia="zh-CN"/>
        </w:rPr>
        <w:t>2025年</w:t>
      </w:r>
      <w:r>
        <w:rPr>
          <w:rFonts w:hint="default" w:ascii="Times New Roman" w:hAnsi="Times New Roman" w:eastAsia="仿宋_GB2312" w:cs="Times New Roman"/>
          <w:kern w:val="0"/>
          <w:sz w:val="32"/>
          <w:szCs w:val="32"/>
        </w:rPr>
        <w:t>度收</w:t>
      </w:r>
      <w:r>
        <w:rPr>
          <w:rFonts w:hint="eastAsia" w:ascii="Times New Roman" w:hAnsi="Times New Roman" w:eastAsia="仿宋_GB2312" w:cs="Times New Roman"/>
          <w:kern w:val="0"/>
          <w:sz w:val="32"/>
          <w:szCs w:val="32"/>
          <w:lang w:eastAsia="zh-CN"/>
        </w:rPr>
        <w:t>入</w:t>
      </w:r>
      <w:r>
        <w:rPr>
          <w:rFonts w:hint="default" w:ascii="Times New Roman" w:hAnsi="Times New Roman" w:eastAsia="仿宋_GB2312" w:cs="Times New Roman"/>
          <w:kern w:val="0"/>
          <w:sz w:val="32"/>
          <w:szCs w:val="32"/>
        </w:rPr>
        <w:t>总计</w:t>
      </w:r>
      <w:r>
        <w:rPr>
          <w:rFonts w:hint="eastAsia" w:ascii="Times New Roman" w:hAnsi="Times New Roman" w:eastAsia="仿宋_GB2312" w:cs="Times New Roman"/>
          <w:kern w:val="0"/>
          <w:sz w:val="32"/>
          <w:szCs w:val="32"/>
          <w:lang w:eastAsia="zh-CN"/>
        </w:rPr>
        <w:t xml:space="preserve">1,724,439.52 </w:t>
      </w:r>
      <w:r>
        <w:rPr>
          <w:rFonts w:hint="default" w:ascii="Times New Roman" w:hAnsi="Times New Roman" w:eastAsia="仿宋_GB2312" w:cs="Times New Roman"/>
          <w:kern w:val="0"/>
          <w:sz w:val="32"/>
          <w:szCs w:val="32"/>
        </w:rPr>
        <w:t>元</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支出总计</w:t>
      </w:r>
      <w:r>
        <w:rPr>
          <w:rFonts w:hint="eastAsia" w:ascii="Times New Roman" w:hAnsi="Times New Roman" w:eastAsia="仿宋_GB2312" w:cs="Times New Roman"/>
          <w:kern w:val="0"/>
          <w:sz w:val="32"/>
          <w:szCs w:val="32"/>
          <w:lang w:val="en-US" w:eastAsia="zh-CN"/>
        </w:rPr>
        <w:t xml:space="preserve">1,725,795.91 </w:t>
      </w:r>
      <w:r>
        <w:rPr>
          <w:rFonts w:hint="default" w:ascii="Times New Roman" w:hAnsi="Times New Roman" w:eastAsia="仿宋_GB2312" w:cs="Times New Roman"/>
          <w:kern w:val="0"/>
          <w:sz w:val="32"/>
          <w:szCs w:val="32"/>
        </w:rPr>
        <w:t>元</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与</w:t>
      </w:r>
      <w:r>
        <w:rPr>
          <w:rFonts w:hint="eastAsia" w:ascii="Times New Roman" w:hAnsi="Times New Roman" w:eastAsia="仿宋_GB2312" w:cs="Times New Roman"/>
          <w:kern w:val="0"/>
          <w:sz w:val="32"/>
          <w:szCs w:val="32"/>
          <w:lang w:eastAsia="zh-CN"/>
        </w:rPr>
        <w:t>2024年</w:t>
      </w:r>
      <w:r>
        <w:rPr>
          <w:rFonts w:hint="default" w:ascii="Times New Roman" w:hAnsi="Times New Roman" w:eastAsia="仿宋_GB2312" w:cs="Times New Roman"/>
          <w:kern w:val="0"/>
          <w:sz w:val="32"/>
          <w:szCs w:val="32"/>
          <w:lang w:eastAsia="zh-CN"/>
        </w:rPr>
        <w:t>度</w:t>
      </w:r>
      <w:r>
        <w:rPr>
          <w:rFonts w:hint="default" w:ascii="Times New Roman" w:hAnsi="Times New Roman" w:eastAsia="仿宋_GB2312" w:cs="Times New Roman"/>
          <w:kern w:val="0"/>
          <w:sz w:val="32"/>
          <w:szCs w:val="32"/>
        </w:rPr>
        <w:t>相比，收</w:t>
      </w:r>
      <w:r>
        <w:rPr>
          <w:rFonts w:hint="eastAsia" w:ascii="Times New Roman" w:hAnsi="Times New Roman" w:eastAsia="仿宋_GB2312" w:cs="Times New Roman"/>
          <w:kern w:val="0"/>
          <w:sz w:val="32"/>
          <w:szCs w:val="32"/>
          <w:lang w:eastAsia="zh-CN"/>
        </w:rPr>
        <w:t>入总计</w:t>
      </w:r>
      <w:r>
        <w:rPr>
          <w:rFonts w:hint="eastAsia" w:ascii="Times New Roman" w:hAnsi="Times New Roman" w:eastAsia="仿宋_GB2312" w:cs="Times New Roman"/>
          <w:kern w:val="0"/>
          <w:sz w:val="32"/>
          <w:szCs w:val="32"/>
          <w:lang w:val="en-US" w:eastAsia="zh-CN"/>
        </w:rPr>
        <w:t>减少930</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519.74</w:t>
      </w:r>
      <w:r>
        <w:rPr>
          <w:rFonts w:hint="eastAsia" w:ascii="Times New Roman" w:hAnsi="Times New Roman" w:eastAsia="仿宋_GB2312" w:cs="Times New Roman"/>
          <w:kern w:val="0"/>
          <w:sz w:val="32"/>
          <w:szCs w:val="32"/>
          <w:lang w:eastAsia="zh-CN"/>
        </w:rPr>
        <w:t>元，</w:t>
      </w:r>
      <w:r>
        <w:rPr>
          <w:rFonts w:hint="eastAsia" w:ascii="Times New Roman" w:hAnsi="Times New Roman" w:eastAsia="仿宋_GB2312" w:cs="Times New Roman"/>
          <w:kern w:val="0"/>
          <w:sz w:val="32"/>
          <w:szCs w:val="32"/>
          <w:lang w:val="en-US" w:eastAsia="zh-CN"/>
        </w:rPr>
        <w:t>下降35.00%</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支</w:t>
      </w:r>
      <w:r>
        <w:rPr>
          <w:rFonts w:hint="eastAsia" w:ascii="Times New Roman" w:hAnsi="Times New Roman" w:eastAsia="仿宋_GB2312" w:cs="Times New Roman"/>
          <w:kern w:val="0"/>
          <w:sz w:val="32"/>
          <w:szCs w:val="32"/>
          <w:lang w:eastAsia="zh-CN"/>
        </w:rPr>
        <w:t>出总计</w:t>
      </w:r>
      <w:r>
        <w:rPr>
          <w:rFonts w:hint="eastAsia" w:ascii="Times New Roman" w:hAnsi="Times New Roman" w:eastAsia="仿宋_GB2312" w:cs="Times New Roman"/>
          <w:kern w:val="0"/>
          <w:sz w:val="32"/>
          <w:szCs w:val="32"/>
          <w:lang w:val="en-US" w:eastAsia="zh-CN"/>
        </w:rPr>
        <w:t>减少936</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677.30元，下降35.20</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主要原因是本年香港项目已完工，自治区红十字会拨入项目经费减少，导致本年收支较上年下降。</w:t>
      </w:r>
    </w:p>
    <w:p>
      <w:pPr>
        <w:keepLines w:val="0"/>
        <w:pageBreakBefore w:val="0"/>
        <w:kinsoku/>
        <w:wordWrap/>
        <w:overflowPunct w:val="0"/>
        <w:topLinePunct w:val="0"/>
        <w:bidi w:val="0"/>
        <w:spacing w:line="560" w:lineRule="exact"/>
        <w:ind w:left="0" w:leftChars="0" w:right="0" w:rightChars="0" w:firstLine="643" w:firstLineChars="200"/>
        <w:jc w:val="both"/>
        <w:textAlignment w:val="auto"/>
        <w:outlineLvl w:val="1"/>
        <w:rPr>
          <w:rFonts w:ascii="Times New Roman" w:hAnsi="Times New Roman" w:eastAsia="黑体" w:cs="Times New Roman"/>
          <w:kern w:val="0"/>
          <w:sz w:val="32"/>
          <w:szCs w:val="32"/>
        </w:rPr>
      </w:pPr>
      <w:r>
        <w:rPr>
          <w:rFonts w:ascii="Times New Roman" w:hAnsi="Times New Roman" w:eastAsia="楷体_GB2312" w:cs="Times New Roman"/>
          <w:b/>
          <w:bCs/>
          <w:kern w:val="0"/>
          <w:sz w:val="32"/>
          <w:szCs w:val="32"/>
        </w:rPr>
        <w:t>二、收入决算情况说明</w:t>
      </w:r>
    </w:p>
    <w:p>
      <w:pPr>
        <w:pStyle w:val="13"/>
        <w:keepLines w:val="0"/>
        <w:pageBreakBefore w:val="0"/>
        <w:kinsoku/>
        <w:wordWrap/>
        <w:overflowPunct w:val="0"/>
        <w:topLinePunct w:val="0"/>
        <w:bidi w:val="0"/>
        <w:spacing w:line="560" w:lineRule="exact"/>
        <w:ind w:left="0" w:leftChars="0" w:right="0" w:rightChars="0" w:firstLine="745" w:firstLineChars="233"/>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w:t>
      </w:r>
      <w:r>
        <w:rPr>
          <w:rFonts w:ascii="Times New Roman" w:hAnsi="Times New Roman" w:eastAsia="仿宋_GB2312" w:cs="Times New Roman"/>
          <w:color w:val="auto"/>
          <w:sz w:val="32"/>
          <w:szCs w:val="32"/>
        </w:rPr>
        <w:t>收入合计</w:t>
      </w:r>
      <w:r>
        <w:rPr>
          <w:rFonts w:hint="eastAsia" w:ascii="Times New Roman" w:hAnsi="Times New Roman" w:eastAsia="仿宋_GB2312" w:cs="Times New Roman"/>
          <w:kern w:val="0"/>
          <w:sz w:val="32"/>
          <w:szCs w:val="32"/>
          <w:lang w:eastAsia="zh-CN"/>
        </w:rPr>
        <w:t xml:space="preserve">1,724,439.52 </w:t>
      </w:r>
      <w:r>
        <w:rPr>
          <w:rFonts w:ascii="Times New Roman" w:hAnsi="Times New Roman" w:eastAsia="仿宋_GB2312" w:cs="Times New Roman"/>
          <w:color w:val="auto"/>
          <w:sz w:val="32"/>
          <w:szCs w:val="32"/>
        </w:rPr>
        <w:t>元，其中：财政拨款收入</w:t>
      </w:r>
      <w:r>
        <w:rPr>
          <w:rFonts w:hint="eastAsia" w:ascii="Times New Roman" w:hAnsi="Times New Roman" w:eastAsia="仿宋_GB2312" w:cs="Times New Roman"/>
          <w:color w:val="auto"/>
          <w:sz w:val="32"/>
          <w:szCs w:val="32"/>
          <w:lang w:eastAsia="zh-CN"/>
        </w:rPr>
        <w:t xml:space="preserve">1,697,556.81 </w:t>
      </w:r>
      <w:r>
        <w:rPr>
          <w:rFonts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98.44</w:t>
      </w:r>
      <w:r>
        <w:rPr>
          <w:rFonts w:ascii="Times New Roman" w:hAnsi="Times New Roman" w:eastAsia="仿宋_GB2312" w:cs="Times New Roman"/>
          <w:color w:val="auto"/>
          <w:sz w:val="32"/>
          <w:szCs w:val="32"/>
        </w:rPr>
        <w:t>%；上级补助收入</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%；事业收入</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%；经营收入</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%；附属单位上缴收入</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%；其他收入</w:t>
      </w:r>
      <w:r>
        <w:rPr>
          <w:rFonts w:hint="eastAsia" w:ascii="Times New Roman" w:hAnsi="Times New Roman" w:eastAsia="仿宋_GB2312" w:cs="Times New Roman"/>
          <w:color w:val="auto"/>
          <w:sz w:val="32"/>
          <w:szCs w:val="32"/>
          <w:lang w:eastAsia="zh-CN"/>
        </w:rPr>
        <w:t xml:space="preserve">26,882.71 </w:t>
      </w:r>
      <w:r>
        <w:rPr>
          <w:rFonts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1.56</w:t>
      </w:r>
      <w:r>
        <w:rPr>
          <w:rFonts w:ascii="Times New Roman" w:hAnsi="Times New Roman" w:eastAsia="仿宋_GB2312" w:cs="Times New Roman"/>
          <w:color w:val="auto"/>
          <w:sz w:val="32"/>
          <w:szCs w:val="32"/>
        </w:rPr>
        <w:t>%。</w:t>
      </w:r>
    </w:p>
    <w:p>
      <w:pPr>
        <w:pStyle w:val="13"/>
        <w:keepLines w:val="0"/>
        <w:pageBreakBefore w:val="0"/>
        <w:kinsoku/>
        <w:wordWrap/>
        <w:overflowPunct w:val="0"/>
        <w:topLinePunct w:val="0"/>
        <w:bidi w:val="0"/>
        <w:spacing w:line="560" w:lineRule="exact"/>
        <w:ind w:left="0" w:leftChars="0" w:right="0" w:rightChars="0" w:firstLine="630" w:firstLineChars="196"/>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三、支出决算情况说明</w:t>
      </w:r>
    </w:p>
    <w:p>
      <w:pPr>
        <w:keepLines w:val="0"/>
        <w:pageBreakBefore w:val="0"/>
        <w:kinsoku/>
        <w:wordWrap/>
        <w:overflowPunct w:val="0"/>
        <w:topLinePunct w:val="0"/>
        <w:bidi w:val="0"/>
        <w:spacing w:line="560" w:lineRule="exact"/>
        <w:ind w:left="0" w:leftChars="0" w:right="0" w:rightChars="0" w:firstLine="614" w:firstLineChars="192"/>
        <w:jc w:val="both"/>
        <w:textAlignment w:val="auto"/>
        <w:outlineLvl w:val="1"/>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度支出合计</w:t>
      </w:r>
      <w:r>
        <w:rPr>
          <w:rFonts w:hint="eastAsia" w:ascii="Times New Roman" w:hAnsi="Times New Roman" w:eastAsia="仿宋_GB2312" w:cs="Times New Roman"/>
          <w:kern w:val="0"/>
          <w:sz w:val="32"/>
          <w:szCs w:val="32"/>
          <w:lang w:val="en-US" w:eastAsia="zh-CN"/>
        </w:rPr>
        <w:t xml:space="preserve">1,725,795.91 </w:t>
      </w:r>
      <w:r>
        <w:rPr>
          <w:rFonts w:ascii="Times New Roman" w:hAnsi="Times New Roman" w:eastAsia="仿宋_GB2312" w:cs="Times New Roman"/>
          <w:kern w:val="0"/>
          <w:sz w:val="32"/>
          <w:szCs w:val="32"/>
        </w:rPr>
        <w:t>元，其中：基本支出</w:t>
      </w:r>
      <w:r>
        <w:rPr>
          <w:rFonts w:hint="eastAsia" w:ascii="Times New Roman" w:hAnsi="Times New Roman" w:eastAsia="仿宋_GB2312" w:cs="Times New Roman"/>
          <w:kern w:val="0"/>
          <w:sz w:val="32"/>
          <w:szCs w:val="32"/>
          <w:lang w:eastAsia="zh-CN"/>
        </w:rPr>
        <w:t>1,233,732.76</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71.49</w:t>
      </w:r>
      <w:r>
        <w:rPr>
          <w:rFonts w:ascii="Times New Roman" w:hAnsi="Times New Roman" w:eastAsia="仿宋_GB2312" w:cs="Times New Roman"/>
          <w:kern w:val="0"/>
          <w:sz w:val="32"/>
          <w:szCs w:val="32"/>
        </w:rPr>
        <w:t>%；项目支出</w:t>
      </w:r>
      <w:r>
        <w:rPr>
          <w:rFonts w:hint="eastAsia" w:ascii="Times New Roman" w:hAnsi="Times New Roman" w:eastAsia="仿宋_GB2312" w:cs="Times New Roman"/>
          <w:kern w:val="0"/>
          <w:sz w:val="32"/>
          <w:szCs w:val="32"/>
          <w:lang w:eastAsia="zh-CN"/>
        </w:rPr>
        <w:t>492,063.15</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28.51</w:t>
      </w:r>
      <w:r>
        <w:rPr>
          <w:rFonts w:ascii="Times New Roman" w:hAnsi="Times New Roman" w:eastAsia="仿宋_GB2312" w:cs="Times New Roman"/>
          <w:kern w:val="0"/>
          <w:sz w:val="32"/>
          <w:szCs w:val="32"/>
        </w:rPr>
        <w:t>%；上缴上级支出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%；经营支出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%，对附属单位补助支出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w:t>
      </w:r>
    </w:p>
    <w:p>
      <w:pPr>
        <w:keepLines w:val="0"/>
        <w:pageBreakBefore w:val="0"/>
        <w:kinsoku/>
        <w:wordWrap/>
        <w:overflowPunct w:val="0"/>
        <w:topLinePunct w:val="0"/>
        <w:bidi w:val="0"/>
        <w:spacing w:line="560" w:lineRule="exact"/>
        <w:ind w:left="0" w:leftChars="0" w:right="0" w:rightChars="0" w:firstLine="643" w:firstLineChars="200"/>
        <w:jc w:val="both"/>
        <w:textAlignment w:val="auto"/>
        <w:outlineLvl w:val="1"/>
        <w:rPr>
          <w:rFonts w:ascii="Times New Roman" w:hAnsi="Times New Roman" w:eastAsia="楷体_GB2312" w:cs="Times New Roman"/>
          <w:b/>
          <w:bCs/>
          <w:kern w:val="0"/>
          <w:sz w:val="32"/>
          <w:szCs w:val="32"/>
        </w:rPr>
      </w:pPr>
      <w:r>
        <w:rPr>
          <w:rFonts w:ascii="Times New Roman" w:hAnsi="Times New Roman" w:eastAsia="楷体_GB2312" w:cs="Times New Roman"/>
          <w:b/>
          <w:bCs/>
          <w:kern w:val="0"/>
          <w:sz w:val="32"/>
          <w:szCs w:val="32"/>
        </w:rPr>
        <w:t>四、财政拨款收入支出决算总体情况说明</w:t>
      </w:r>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eastAsia="zh-CN"/>
        </w:rPr>
        <w:t>2025年</w:t>
      </w:r>
      <w:r>
        <w:rPr>
          <w:rFonts w:hint="default" w:ascii="Times New Roman" w:hAnsi="Times New Roman" w:eastAsia="仿宋_GB2312" w:cs="Times New Roman"/>
          <w:kern w:val="0"/>
          <w:sz w:val="32"/>
          <w:szCs w:val="32"/>
        </w:rPr>
        <w:t>度财政拨款收</w:t>
      </w:r>
      <w:r>
        <w:rPr>
          <w:rFonts w:hint="eastAsia" w:ascii="Times New Roman" w:hAnsi="Times New Roman" w:eastAsia="仿宋_GB2312" w:cs="Times New Roman"/>
          <w:kern w:val="0"/>
          <w:sz w:val="32"/>
          <w:szCs w:val="32"/>
          <w:lang w:eastAsia="zh-CN"/>
        </w:rPr>
        <w:t>入总计1,697,556.81 元</w:t>
      </w:r>
      <w:r>
        <w:rPr>
          <w:rFonts w:hint="default"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eastAsia="zh-CN"/>
        </w:rPr>
        <w:t>财政拨款</w:t>
      </w:r>
      <w:r>
        <w:rPr>
          <w:rFonts w:hint="default" w:ascii="Times New Roman" w:hAnsi="Times New Roman" w:eastAsia="仿宋_GB2312" w:cs="Times New Roman"/>
          <w:kern w:val="0"/>
          <w:sz w:val="32"/>
          <w:szCs w:val="32"/>
          <w:lang w:eastAsia="zh-CN"/>
        </w:rPr>
        <w:t>支</w:t>
      </w:r>
      <w:r>
        <w:rPr>
          <w:rFonts w:hint="eastAsia" w:ascii="Times New Roman" w:hAnsi="Times New Roman" w:eastAsia="仿宋_GB2312" w:cs="Times New Roman"/>
          <w:kern w:val="0"/>
          <w:sz w:val="32"/>
          <w:szCs w:val="32"/>
          <w:lang w:eastAsia="zh-CN"/>
        </w:rPr>
        <w:t>出</w:t>
      </w:r>
      <w:r>
        <w:rPr>
          <w:rFonts w:hint="default" w:ascii="Times New Roman" w:hAnsi="Times New Roman" w:eastAsia="仿宋_GB2312" w:cs="Times New Roman"/>
          <w:kern w:val="0"/>
          <w:sz w:val="32"/>
          <w:szCs w:val="32"/>
        </w:rPr>
        <w:t>总计</w:t>
      </w:r>
      <w:r>
        <w:rPr>
          <w:rFonts w:hint="eastAsia" w:ascii="Times New Roman" w:hAnsi="Times New Roman" w:eastAsia="仿宋_GB2312" w:cs="Times New Roman"/>
          <w:kern w:val="0"/>
          <w:sz w:val="32"/>
          <w:szCs w:val="32"/>
          <w:lang w:eastAsia="zh-CN"/>
        </w:rPr>
        <w:t>1,697,610.05</w:t>
      </w:r>
      <w:r>
        <w:rPr>
          <w:rFonts w:hint="default" w:ascii="Times New Roman" w:hAnsi="Times New Roman" w:eastAsia="仿宋_GB2312" w:cs="Times New Roman"/>
          <w:kern w:val="0"/>
          <w:sz w:val="32"/>
          <w:szCs w:val="32"/>
        </w:rPr>
        <w:t>元。与</w:t>
      </w:r>
      <w:r>
        <w:rPr>
          <w:rFonts w:hint="eastAsia" w:ascii="Times New Roman" w:hAnsi="Times New Roman" w:eastAsia="仿宋_GB2312" w:cs="Times New Roman"/>
          <w:kern w:val="0"/>
          <w:sz w:val="32"/>
          <w:szCs w:val="32"/>
          <w:lang w:eastAsia="zh-CN"/>
        </w:rPr>
        <w:t>2024年</w:t>
      </w:r>
      <w:r>
        <w:rPr>
          <w:rFonts w:hint="default" w:ascii="Times New Roman" w:hAnsi="Times New Roman" w:eastAsia="仿宋_GB2312" w:cs="Times New Roman"/>
          <w:kern w:val="0"/>
          <w:sz w:val="32"/>
          <w:szCs w:val="32"/>
          <w:lang w:eastAsia="zh-CN"/>
        </w:rPr>
        <w:t>度</w:t>
      </w:r>
      <w:r>
        <w:rPr>
          <w:rFonts w:hint="default" w:ascii="Times New Roman" w:hAnsi="Times New Roman" w:eastAsia="仿宋_GB2312" w:cs="Times New Roman"/>
          <w:kern w:val="0"/>
          <w:sz w:val="32"/>
          <w:szCs w:val="32"/>
        </w:rPr>
        <w:t>相比，财政拨款收</w:t>
      </w:r>
      <w:r>
        <w:rPr>
          <w:rFonts w:hint="eastAsia" w:ascii="Times New Roman" w:hAnsi="Times New Roman" w:eastAsia="仿宋_GB2312" w:cs="Times New Roman"/>
          <w:kern w:val="0"/>
          <w:sz w:val="32"/>
          <w:szCs w:val="32"/>
          <w:lang w:eastAsia="zh-CN"/>
        </w:rPr>
        <w:t>入总计</w:t>
      </w:r>
      <w:r>
        <w:rPr>
          <w:rFonts w:hint="eastAsia" w:ascii="Times New Roman" w:hAnsi="Times New Roman" w:eastAsia="仿宋_GB2312" w:cs="Times New Roman"/>
          <w:kern w:val="0"/>
          <w:sz w:val="32"/>
          <w:szCs w:val="32"/>
          <w:lang w:val="en-US" w:eastAsia="zh-CN"/>
        </w:rPr>
        <w:t>增加</w:t>
      </w:r>
      <w:r>
        <w:rPr>
          <w:rFonts w:hint="eastAsia" w:ascii="Times New Roman" w:hAnsi="Times New Roman" w:eastAsia="仿宋_GB2312" w:cs="Times New Roman"/>
          <w:kern w:val="0"/>
          <w:sz w:val="32"/>
          <w:szCs w:val="32"/>
          <w:lang w:eastAsia="zh-CN"/>
        </w:rPr>
        <w:t>85,612.72元，</w:t>
      </w:r>
      <w:r>
        <w:rPr>
          <w:rFonts w:hint="eastAsia" w:ascii="Times New Roman" w:hAnsi="Times New Roman" w:eastAsia="仿宋_GB2312" w:cs="Times New Roman"/>
          <w:kern w:val="0"/>
          <w:sz w:val="32"/>
          <w:szCs w:val="32"/>
          <w:lang w:val="en-US" w:eastAsia="zh-CN"/>
        </w:rPr>
        <w:t>增长5.31%；财政拨款</w:t>
      </w:r>
      <w:r>
        <w:rPr>
          <w:rFonts w:hint="default" w:ascii="Times New Roman" w:hAnsi="Times New Roman" w:eastAsia="仿宋_GB2312" w:cs="Times New Roman"/>
          <w:kern w:val="0"/>
          <w:sz w:val="32"/>
          <w:szCs w:val="32"/>
        </w:rPr>
        <w:t>支</w:t>
      </w:r>
      <w:r>
        <w:rPr>
          <w:rFonts w:hint="eastAsia" w:ascii="Times New Roman" w:hAnsi="Times New Roman" w:eastAsia="仿宋_GB2312" w:cs="Times New Roman"/>
          <w:kern w:val="0"/>
          <w:sz w:val="32"/>
          <w:szCs w:val="32"/>
          <w:lang w:eastAsia="zh-CN"/>
        </w:rPr>
        <w:t>出</w:t>
      </w:r>
      <w:r>
        <w:rPr>
          <w:rFonts w:hint="default" w:ascii="Times New Roman" w:hAnsi="Times New Roman" w:eastAsia="仿宋_GB2312" w:cs="Times New Roman"/>
          <w:kern w:val="0"/>
          <w:sz w:val="32"/>
          <w:szCs w:val="32"/>
        </w:rPr>
        <w:t>总计</w:t>
      </w:r>
      <w:r>
        <w:rPr>
          <w:rFonts w:hint="eastAsia" w:ascii="Times New Roman" w:hAnsi="Times New Roman" w:eastAsia="仿宋_GB2312" w:cs="Times New Roman"/>
          <w:kern w:val="0"/>
          <w:sz w:val="32"/>
          <w:szCs w:val="32"/>
          <w:lang w:val="en-US" w:eastAsia="zh-CN"/>
        </w:rPr>
        <w:t>增加85</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745.60</w:t>
      </w:r>
      <w:r>
        <w:rPr>
          <w:rFonts w:hint="default" w:ascii="Times New Roman" w:hAnsi="Times New Roman" w:eastAsia="仿宋_GB2312" w:cs="Times New Roman"/>
          <w:kern w:val="0"/>
          <w:sz w:val="32"/>
          <w:szCs w:val="32"/>
        </w:rPr>
        <w:t>元，</w:t>
      </w:r>
      <w:r>
        <w:rPr>
          <w:rFonts w:hint="eastAsia" w:ascii="Times New Roman" w:hAnsi="Times New Roman" w:eastAsia="仿宋_GB2312" w:cs="Times New Roman"/>
          <w:kern w:val="0"/>
          <w:sz w:val="32"/>
          <w:szCs w:val="32"/>
          <w:lang w:val="en-US" w:eastAsia="zh-CN"/>
        </w:rPr>
        <w:t>增长5.32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主要原因：一是</w:t>
      </w:r>
      <w:r>
        <w:rPr>
          <w:rFonts w:hint="eastAsia" w:eastAsia="仿宋_GB2312"/>
          <w:b w:val="0"/>
          <w:bCs/>
          <w:sz w:val="32"/>
          <w:szCs w:val="32"/>
          <w:lang w:eastAsia="zh-CN"/>
        </w:rPr>
        <w:t>本年</w:t>
      </w:r>
      <w:r>
        <w:rPr>
          <w:rFonts w:hint="eastAsia" w:eastAsia="仿宋_GB2312"/>
          <w:b w:val="0"/>
          <w:bCs/>
          <w:sz w:val="32"/>
          <w:szCs w:val="32"/>
          <w:lang w:val="en-US" w:eastAsia="zh-CN"/>
        </w:rPr>
        <w:t>工资标准上调；二是本年春节慰问成功捐献造血干细胞志愿者和遗体捐献者增加，慰问金拨款较上年增长。</w:t>
      </w:r>
    </w:p>
    <w:p>
      <w:pPr>
        <w:keepLines w:val="0"/>
        <w:pageBreakBefore w:val="0"/>
        <w:kinsoku/>
        <w:wordWrap/>
        <w:overflowPunct w:val="0"/>
        <w:topLinePunct w:val="0"/>
        <w:bidi w:val="0"/>
        <w:spacing w:line="560" w:lineRule="exact"/>
        <w:ind w:left="0" w:leftChars="0" w:right="0" w:rightChars="0" w:firstLine="643" w:firstLineChars="200"/>
        <w:jc w:val="both"/>
        <w:textAlignment w:val="auto"/>
        <w:outlineLvl w:val="1"/>
        <w:rPr>
          <w:rFonts w:ascii="Times New Roman" w:hAnsi="Times New Roman" w:eastAsia="楷体_GB2312" w:cs="Times New Roman"/>
          <w:b/>
          <w:bCs/>
          <w:kern w:val="0"/>
          <w:sz w:val="32"/>
          <w:szCs w:val="32"/>
        </w:rPr>
      </w:pPr>
      <w:r>
        <w:rPr>
          <w:rFonts w:ascii="Times New Roman" w:hAnsi="Times New Roman" w:eastAsia="楷体_GB2312" w:cs="Times New Roman"/>
          <w:b/>
          <w:bCs/>
          <w:kern w:val="0"/>
          <w:sz w:val="32"/>
          <w:szCs w:val="32"/>
        </w:rPr>
        <w:t>五、一般公共预算财政拨款支出决算情况说明</w:t>
      </w:r>
    </w:p>
    <w:p>
      <w:pPr>
        <w:keepNext w:val="0"/>
        <w:keepLines w:val="0"/>
        <w:pageBreakBefore w:val="0"/>
        <w:widowControl w:val="0"/>
        <w:kinsoku/>
        <w:wordWrap/>
        <w:overflowPunct/>
        <w:topLinePunct w:val="0"/>
        <w:autoSpaceDE/>
        <w:autoSpaceDN/>
        <w:bidi w:val="0"/>
        <w:snapToGrid w:val="0"/>
        <w:spacing w:line="560" w:lineRule="exact"/>
        <w:ind w:left="0" w:leftChars="0" w:right="0" w:rightChars="0" w:firstLine="643"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仿宋_GB2312" w:hAnsi="仿宋_GB2312" w:eastAsia="仿宋_GB2312" w:cs="仿宋_GB2312"/>
          <w:b/>
          <w:kern w:val="0"/>
          <w:sz w:val="32"/>
          <w:szCs w:val="32"/>
        </w:rPr>
        <w:t>（一）</w:t>
      </w:r>
      <w:r>
        <w:rPr>
          <w:rFonts w:hint="eastAsia" w:ascii="仿宋_GB2312" w:hAnsi="仿宋_GB2312" w:eastAsia="仿宋_GB2312" w:cs="仿宋_GB2312"/>
          <w:b/>
          <w:bCs/>
          <w:kern w:val="0"/>
          <w:sz w:val="32"/>
          <w:szCs w:val="32"/>
        </w:rPr>
        <w:t>一般公共预算财政拨款支出决算</w:t>
      </w:r>
      <w:r>
        <w:rPr>
          <w:rFonts w:hint="eastAsia" w:ascii="仿宋_GB2312" w:hAnsi="仿宋_GB2312" w:eastAsia="仿宋_GB2312" w:cs="仿宋_GB2312"/>
          <w:b/>
          <w:kern w:val="0"/>
          <w:sz w:val="32"/>
          <w:szCs w:val="32"/>
        </w:rPr>
        <w:t>总体情况。</w:t>
      </w: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度一般公共预算财政拨款支出</w:t>
      </w:r>
      <w:r>
        <w:rPr>
          <w:rFonts w:hint="eastAsia" w:ascii="Times New Roman" w:hAnsi="Times New Roman" w:eastAsia="仿宋_GB2312" w:cs="Times New Roman"/>
          <w:kern w:val="0"/>
          <w:sz w:val="32"/>
          <w:szCs w:val="32"/>
          <w:lang w:eastAsia="zh-CN"/>
        </w:rPr>
        <w:t>1,697,610.05</w:t>
      </w:r>
      <w:r>
        <w:rPr>
          <w:rFonts w:ascii="Times New Roman" w:hAnsi="Times New Roman" w:eastAsia="仿宋_GB2312" w:cs="Times New Roman"/>
          <w:kern w:val="0"/>
          <w:sz w:val="32"/>
          <w:szCs w:val="32"/>
        </w:rPr>
        <w:t>元，占本年支出合计的</w:t>
      </w:r>
      <w:r>
        <w:rPr>
          <w:rFonts w:hint="eastAsia" w:ascii="Times New Roman" w:hAnsi="Times New Roman" w:eastAsia="仿宋_GB2312" w:cs="Times New Roman"/>
          <w:kern w:val="0"/>
          <w:sz w:val="32"/>
          <w:szCs w:val="32"/>
          <w:lang w:val="en-US" w:eastAsia="zh-CN"/>
        </w:rPr>
        <w:t>98.44</w:t>
      </w:r>
      <w:r>
        <w:rPr>
          <w:rFonts w:ascii="Times New Roman" w:hAnsi="Times New Roman" w:eastAsia="仿宋_GB2312" w:cs="Times New Roman"/>
          <w:kern w:val="0"/>
          <w:sz w:val="32"/>
          <w:szCs w:val="32"/>
        </w:rPr>
        <w:t>%。与</w:t>
      </w:r>
      <w:r>
        <w:rPr>
          <w:rFonts w:hint="eastAsia" w:ascii="Times New Roman" w:hAnsi="Times New Roman" w:eastAsia="仿宋_GB2312" w:cs="Times New Roman"/>
          <w:kern w:val="0"/>
          <w:sz w:val="32"/>
          <w:szCs w:val="32"/>
          <w:lang w:eastAsia="zh-CN"/>
        </w:rPr>
        <w:t>2024年</w:t>
      </w:r>
      <w:r>
        <w:rPr>
          <w:rFonts w:ascii="Times New Roman" w:hAnsi="Times New Roman" w:eastAsia="仿宋_GB2312" w:cs="Times New Roman"/>
          <w:kern w:val="0"/>
          <w:sz w:val="32"/>
          <w:szCs w:val="32"/>
        </w:rPr>
        <w:t>度相比，一般公共预算财政拨款支出</w:t>
      </w:r>
      <w:r>
        <w:rPr>
          <w:rFonts w:hint="eastAsia" w:ascii="Times New Roman" w:hAnsi="Times New Roman" w:eastAsia="仿宋_GB2312" w:cs="Times New Roman"/>
          <w:kern w:val="0"/>
          <w:sz w:val="32"/>
          <w:szCs w:val="32"/>
          <w:lang w:val="en-US" w:eastAsia="zh-CN"/>
        </w:rPr>
        <w:t>增加85</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745.60</w:t>
      </w:r>
      <w:r>
        <w:rPr>
          <w:rFonts w:hint="default" w:ascii="Times New Roman" w:hAnsi="Times New Roman" w:eastAsia="仿宋_GB2312" w:cs="Times New Roman"/>
          <w:kern w:val="0"/>
          <w:sz w:val="32"/>
          <w:szCs w:val="32"/>
        </w:rPr>
        <w:t>元，</w:t>
      </w:r>
      <w:r>
        <w:rPr>
          <w:rFonts w:hint="eastAsia" w:ascii="Times New Roman" w:hAnsi="Times New Roman" w:eastAsia="仿宋_GB2312" w:cs="Times New Roman"/>
          <w:kern w:val="0"/>
          <w:sz w:val="32"/>
          <w:szCs w:val="32"/>
          <w:lang w:val="en-US" w:eastAsia="zh-CN"/>
        </w:rPr>
        <w:t>增长5.32</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主要原因：一是</w:t>
      </w:r>
      <w:r>
        <w:rPr>
          <w:rFonts w:hint="eastAsia" w:eastAsia="仿宋_GB2312"/>
          <w:b w:val="0"/>
          <w:bCs/>
          <w:sz w:val="32"/>
          <w:szCs w:val="32"/>
          <w:lang w:eastAsia="zh-CN"/>
        </w:rPr>
        <w:t>本年</w:t>
      </w:r>
      <w:r>
        <w:rPr>
          <w:rFonts w:hint="eastAsia" w:eastAsia="仿宋_GB2312"/>
          <w:b w:val="0"/>
          <w:bCs/>
          <w:sz w:val="32"/>
          <w:szCs w:val="32"/>
          <w:lang w:val="en-US" w:eastAsia="zh-CN"/>
        </w:rPr>
        <w:t>工资标准上调；二是本年春节慰问成功捐献造血干细胞志愿者和遗体捐献者增加，慰问金拨款较上年增长。</w:t>
      </w:r>
    </w:p>
    <w:p>
      <w:pPr>
        <w:keepLines w:val="0"/>
        <w:pageBreakBefore w:val="0"/>
        <w:kinsoku/>
        <w:wordWrap/>
        <w:overflowPunct w:val="0"/>
        <w:topLinePunct w:val="0"/>
        <w:bidi w:val="0"/>
        <w:spacing w:line="560" w:lineRule="exact"/>
        <w:ind w:left="0" w:leftChars="0" w:right="0" w:rightChars="0" w:firstLine="655" w:firstLineChars="204"/>
        <w:jc w:val="both"/>
        <w:textAlignment w:val="auto"/>
        <w:rPr>
          <w:rFonts w:ascii="Times New Roman" w:hAnsi="Times New Roman" w:eastAsia="仿宋_GB2312" w:cs="Times New Roman"/>
          <w:b/>
          <w:kern w:val="0"/>
          <w:sz w:val="32"/>
          <w:szCs w:val="32"/>
        </w:rPr>
      </w:pPr>
      <w:r>
        <w:rPr>
          <w:rFonts w:ascii="仿宋_GB2312" w:hAnsi="仿宋_GB2312" w:eastAsia="仿宋_GB2312" w:cs="仿宋_GB2312"/>
          <w:b/>
          <w:kern w:val="0"/>
          <w:sz w:val="32"/>
          <w:szCs w:val="32"/>
        </w:rPr>
        <w:t>（二）一般公共预算财政拨款支出决算结构情况。</w:t>
      </w: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度一般公共预算财政拨款支出</w:t>
      </w:r>
      <w:r>
        <w:rPr>
          <w:rFonts w:hint="eastAsia" w:ascii="Times New Roman" w:hAnsi="Times New Roman" w:eastAsia="仿宋_GB2312" w:cs="Times New Roman"/>
          <w:kern w:val="0"/>
          <w:sz w:val="32"/>
          <w:szCs w:val="32"/>
          <w:lang w:eastAsia="zh-CN"/>
        </w:rPr>
        <w:t>1,697,610.05</w:t>
      </w:r>
      <w:r>
        <w:rPr>
          <w:rFonts w:ascii="Times New Roman" w:hAnsi="Times New Roman" w:eastAsia="仿宋_GB2312" w:cs="Times New Roman"/>
          <w:kern w:val="0"/>
          <w:sz w:val="32"/>
          <w:szCs w:val="32"/>
        </w:rPr>
        <w:t>元，主要用于以下方面：一般公共服务（类）支出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%；教育（类）支出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%；科学技术（类）支出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%；文化旅游体育与传媒（类）支出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%；社会保障和就业（类）支出</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523</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928.91</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89.77</w:t>
      </w:r>
      <w:r>
        <w:rPr>
          <w:rFonts w:ascii="Times New Roman" w:hAnsi="Times New Roman" w:eastAsia="仿宋_GB2312" w:cs="Times New Roman"/>
          <w:kern w:val="0"/>
          <w:sz w:val="32"/>
          <w:szCs w:val="32"/>
        </w:rPr>
        <w:t>%；卫生健康（类）支</w:t>
      </w:r>
      <w:r>
        <w:rPr>
          <w:rFonts w:hint="eastAsia" w:ascii="Times New Roman" w:hAnsi="Times New Roman" w:eastAsia="仿宋_GB2312" w:cs="Times New Roman"/>
          <w:kern w:val="0"/>
          <w:sz w:val="32"/>
          <w:szCs w:val="32"/>
          <w:lang w:eastAsia="zh-CN"/>
        </w:rPr>
        <w:t xml:space="preserve">出50,244.14 </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2.96</w:t>
      </w:r>
      <w:r>
        <w:rPr>
          <w:rFonts w:ascii="Times New Roman" w:hAnsi="Times New Roman" w:eastAsia="仿宋_GB2312" w:cs="Times New Roman"/>
          <w:kern w:val="0"/>
          <w:sz w:val="32"/>
          <w:szCs w:val="32"/>
        </w:rPr>
        <w:t>%；节能环保（类）支出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%；城乡社区（类）支出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%；资源勘探信息（类）支出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%；农林水（类）支出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%；交通运输（类）支出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%；自然资源海洋气象（类）支出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%；住房保障（类）支出</w:t>
      </w:r>
      <w:r>
        <w:rPr>
          <w:rFonts w:hint="eastAsia" w:ascii="Times New Roman" w:hAnsi="Times New Roman" w:eastAsia="仿宋_GB2312" w:cs="Times New Roman"/>
          <w:kern w:val="0"/>
          <w:sz w:val="32"/>
          <w:szCs w:val="32"/>
          <w:lang w:eastAsia="zh-CN"/>
        </w:rPr>
        <w:t xml:space="preserve">123,437.00 </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val="en-US" w:eastAsia="zh-CN"/>
        </w:rPr>
        <w:t>7.27</w:t>
      </w:r>
      <w:r>
        <w:rPr>
          <w:rFonts w:ascii="Times New Roman" w:hAnsi="Times New Roman" w:eastAsia="仿宋_GB2312" w:cs="Times New Roman"/>
          <w:kern w:val="0"/>
          <w:sz w:val="32"/>
          <w:szCs w:val="32"/>
        </w:rPr>
        <w:t>%。</w:t>
      </w:r>
    </w:p>
    <w:p>
      <w:pPr>
        <w:keepLines w:val="0"/>
        <w:pageBreakBefore w:val="0"/>
        <w:kinsoku/>
        <w:wordWrap/>
        <w:overflowPunct/>
        <w:topLinePunct w:val="0"/>
        <w:bidi w:val="0"/>
        <w:snapToGrid/>
        <w:spacing w:line="560" w:lineRule="exact"/>
        <w:ind w:left="0" w:leftChars="0" w:right="0" w:rightChars="0" w:firstLine="643" w:firstLineChars="200"/>
        <w:jc w:val="both"/>
        <w:textAlignment w:val="auto"/>
        <w:outlineLvl w:val="1"/>
        <w:rPr>
          <w:rFonts w:hint="default" w:ascii="Times New Roman" w:hAnsi="Times New Roman" w:eastAsia="仿宋_GB2312" w:cs="Times New Roman"/>
          <w:kern w:val="0"/>
          <w:sz w:val="32"/>
          <w:szCs w:val="32"/>
        </w:rPr>
      </w:pPr>
      <w:r>
        <w:rPr>
          <w:rFonts w:ascii="仿宋_GB2312" w:hAnsi="仿宋_GB2312" w:eastAsia="仿宋_GB2312" w:cs="仿宋_GB2312"/>
          <w:b/>
          <w:kern w:val="0"/>
          <w:sz w:val="32"/>
          <w:szCs w:val="32"/>
        </w:rPr>
        <w:t>（三）一般公共预算财政拨款支出决算具体情况。</w:t>
      </w: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度一般公共预算财政拨款支出年初预算为</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455</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849.00</w:t>
      </w:r>
      <w:r>
        <w:rPr>
          <w:rFonts w:ascii="Times New Roman" w:hAnsi="Times New Roman" w:eastAsia="仿宋_GB2312" w:cs="Times New Roman"/>
          <w:kern w:val="0"/>
          <w:sz w:val="32"/>
          <w:szCs w:val="32"/>
        </w:rPr>
        <w:t>元，支出决算为</w:t>
      </w:r>
      <w:r>
        <w:rPr>
          <w:rFonts w:hint="eastAsia" w:ascii="Times New Roman" w:hAnsi="Times New Roman" w:eastAsia="仿宋_GB2312" w:cs="Times New Roman"/>
          <w:kern w:val="0"/>
          <w:sz w:val="32"/>
          <w:szCs w:val="32"/>
          <w:lang w:eastAsia="zh-CN"/>
        </w:rPr>
        <w:t>1,697,610.05</w:t>
      </w:r>
      <w:r>
        <w:rPr>
          <w:rFonts w:ascii="Times New Roman" w:hAnsi="Times New Roman" w:eastAsia="仿宋_GB2312" w:cs="Times New Roman"/>
          <w:kern w:val="0"/>
          <w:sz w:val="32"/>
          <w:szCs w:val="32"/>
        </w:rPr>
        <w:t>元，完成年初预算的</w:t>
      </w:r>
      <w:r>
        <w:rPr>
          <w:rFonts w:hint="eastAsia" w:ascii="Times New Roman" w:hAnsi="Times New Roman" w:eastAsia="仿宋_GB2312" w:cs="Times New Roman"/>
          <w:kern w:val="0"/>
          <w:sz w:val="32"/>
          <w:szCs w:val="32"/>
          <w:lang w:val="en-US" w:eastAsia="zh-CN"/>
        </w:rPr>
        <w:t>116.61</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其中：</w:t>
      </w:r>
    </w:p>
    <w:p>
      <w:pPr>
        <w:keepNext w:val="0"/>
        <w:keepLines w:val="0"/>
        <w:pageBreakBefore w:val="0"/>
        <w:numPr>
          <w:ilvl w:val="0"/>
          <w:numId w:val="0"/>
        </w:numPr>
        <w:kinsoku/>
        <w:wordWrap/>
        <w:topLinePunct w:val="0"/>
        <w:bidi w:val="0"/>
        <w:snapToGrid/>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val="en-US" w:eastAsia="zh-CN"/>
        </w:rPr>
        <w:t>社会保障和就业</w:t>
      </w:r>
      <w:r>
        <w:rPr>
          <w:rFonts w:hint="default" w:ascii="Times New Roman" w:hAnsi="Times New Roman" w:eastAsia="仿宋_GB2312" w:cs="Times New Roman"/>
          <w:b/>
          <w:bCs/>
          <w:kern w:val="0"/>
          <w:sz w:val="32"/>
          <w:szCs w:val="32"/>
          <w:lang w:eastAsia="zh-CN"/>
        </w:rPr>
        <w:t>（类）</w:t>
      </w:r>
      <w:r>
        <w:rPr>
          <w:rFonts w:hint="default" w:ascii="Times New Roman" w:hAnsi="Times New Roman" w:eastAsia="仿宋_GB2312" w:cs="Times New Roman"/>
          <w:b/>
          <w:bCs/>
          <w:kern w:val="0"/>
          <w:sz w:val="32"/>
          <w:szCs w:val="32"/>
          <w:lang w:val="en-US" w:eastAsia="zh-CN"/>
        </w:rPr>
        <w:t>行政事业单位</w:t>
      </w:r>
      <w:r>
        <w:rPr>
          <w:rFonts w:hint="eastAsia" w:ascii="Times New Roman" w:hAnsi="Times New Roman" w:eastAsia="仿宋_GB2312" w:cs="Times New Roman"/>
          <w:b/>
          <w:bCs/>
          <w:kern w:val="0"/>
          <w:sz w:val="32"/>
          <w:szCs w:val="32"/>
          <w:lang w:val="en-US" w:eastAsia="zh-CN"/>
        </w:rPr>
        <w:t>养老支出</w:t>
      </w:r>
      <w:r>
        <w:rPr>
          <w:rFonts w:hint="default" w:ascii="Times New Roman" w:hAnsi="Times New Roman" w:eastAsia="仿宋_GB2312" w:cs="Times New Roman"/>
          <w:b/>
          <w:bCs/>
          <w:kern w:val="0"/>
          <w:sz w:val="32"/>
          <w:szCs w:val="32"/>
          <w:lang w:eastAsia="zh-CN"/>
        </w:rPr>
        <w:t>（款）</w:t>
      </w:r>
      <w:r>
        <w:rPr>
          <w:rFonts w:hint="eastAsia" w:ascii="Times New Roman" w:hAnsi="Times New Roman" w:eastAsia="仿宋_GB2312" w:cs="Times New Roman"/>
          <w:b/>
          <w:bCs/>
          <w:kern w:val="0"/>
          <w:sz w:val="32"/>
          <w:szCs w:val="32"/>
          <w:lang w:val="en-US" w:eastAsia="zh-CN"/>
        </w:rPr>
        <w:t>行政单位离退休</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eastAsia" w:ascii="Times New Roman" w:hAnsi="Times New Roman" w:eastAsia="仿宋_GB2312" w:cs="Times New Roman"/>
          <w:kern w:val="0"/>
          <w:sz w:val="32"/>
          <w:szCs w:val="32"/>
          <w:lang w:val="en-US" w:eastAsia="zh-CN"/>
        </w:rPr>
        <w:t>87</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190</w:t>
      </w:r>
      <w:r>
        <w:rPr>
          <w:rFonts w:hint="default" w:ascii="Times New Roman" w:hAnsi="Times New Roman" w:eastAsia="仿宋_GB2312" w:cs="Times New Roman"/>
          <w:kern w:val="0"/>
          <w:sz w:val="32"/>
          <w:szCs w:val="32"/>
        </w:rPr>
        <w:t>.00</w:t>
      </w:r>
      <w:r>
        <w:rPr>
          <w:rFonts w:hint="default" w:ascii="Times New Roman" w:hAnsi="Times New Roman" w:eastAsia="仿宋_GB2312" w:cs="Times New Roman"/>
          <w:kern w:val="0"/>
          <w:sz w:val="32"/>
          <w:szCs w:val="32"/>
          <w:u w:val="none"/>
          <w:lang w:val="en-US" w:eastAsia="zh-CN"/>
        </w:rPr>
        <w:t>元，</w:t>
      </w:r>
      <w:r>
        <w:rPr>
          <w:rFonts w:hint="default" w:ascii="Times New Roman" w:hAnsi="Times New Roman" w:eastAsia="仿宋_GB2312" w:cs="Times New Roman"/>
          <w:kern w:val="0"/>
          <w:sz w:val="32"/>
          <w:szCs w:val="32"/>
        </w:rPr>
        <w:t>支出决算为</w:t>
      </w:r>
      <w:r>
        <w:rPr>
          <w:rFonts w:hint="eastAsia" w:ascii="Times New Roman" w:hAnsi="Times New Roman" w:eastAsia="仿宋_GB2312" w:cs="Times New Roman"/>
          <w:kern w:val="0"/>
          <w:sz w:val="32"/>
          <w:szCs w:val="32"/>
          <w:lang w:eastAsia="zh-CN"/>
        </w:rPr>
        <w:t>40,441.32</w:t>
      </w:r>
      <w:r>
        <w:rPr>
          <w:rFonts w:hint="default" w:ascii="Times New Roman" w:hAnsi="Times New Roman" w:eastAsia="仿宋_GB2312" w:cs="Times New Roman"/>
          <w:kern w:val="0"/>
          <w:sz w:val="32"/>
          <w:szCs w:val="32"/>
        </w:rPr>
        <w:t>元，完成年初预算的</w:t>
      </w:r>
      <w:r>
        <w:rPr>
          <w:rFonts w:hint="eastAsia" w:ascii="Times New Roman" w:hAnsi="Times New Roman" w:eastAsia="仿宋_GB2312" w:cs="Times New Roman"/>
          <w:kern w:val="0"/>
          <w:sz w:val="32"/>
          <w:szCs w:val="32"/>
          <w:lang w:val="en-US" w:eastAsia="zh-CN"/>
        </w:rPr>
        <w:t>69.58</w:t>
      </w:r>
      <w:r>
        <w:rPr>
          <w:rFonts w:hint="default" w:ascii="Times New Roman" w:hAnsi="Times New Roman" w:eastAsia="仿宋_GB2312" w:cs="Times New Roman"/>
          <w:kern w:val="0"/>
          <w:sz w:val="32"/>
          <w:szCs w:val="32"/>
          <w:u w:val="none"/>
          <w:lang w:val="en-US" w:eastAsia="zh-CN"/>
        </w:rPr>
        <w:t>%，决算数</w:t>
      </w:r>
      <w:r>
        <w:rPr>
          <w:rFonts w:hint="eastAsia" w:ascii="Times New Roman" w:hAnsi="Times New Roman" w:eastAsia="仿宋_GB2312" w:cs="Times New Roman"/>
          <w:kern w:val="0"/>
          <w:sz w:val="32"/>
          <w:szCs w:val="32"/>
          <w:u w:val="none"/>
          <w:lang w:val="en-US" w:eastAsia="zh-CN"/>
        </w:rPr>
        <w:t>小</w:t>
      </w:r>
      <w:r>
        <w:rPr>
          <w:rFonts w:hint="default" w:ascii="Times New Roman" w:hAnsi="Times New Roman" w:eastAsia="仿宋_GB2312" w:cs="Times New Roman"/>
          <w:kern w:val="0"/>
          <w:sz w:val="32"/>
          <w:szCs w:val="32"/>
          <w:u w:val="none"/>
          <w:lang w:val="en-US" w:eastAsia="zh-CN"/>
        </w:rPr>
        <w:t>于预算数的主要原因</w:t>
      </w:r>
      <w:r>
        <w:rPr>
          <w:rFonts w:hint="eastAsia" w:ascii="Times New Roman" w:hAnsi="Times New Roman" w:eastAsia="仿宋_GB2312" w:cs="Times New Roman"/>
          <w:kern w:val="0"/>
          <w:sz w:val="32"/>
          <w:szCs w:val="32"/>
          <w:u w:val="none"/>
          <w:lang w:val="en-US" w:eastAsia="zh-CN"/>
        </w:rPr>
        <w:t>：一</w:t>
      </w:r>
      <w:r>
        <w:rPr>
          <w:rFonts w:hint="default" w:ascii="Times New Roman" w:hAnsi="Times New Roman" w:eastAsia="仿宋_GB2312" w:cs="Times New Roman"/>
          <w:kern w:val="0"/>
          <w:sz w:val="32"/>
          <w:szCs w:val="32"/>
          <w:u w:val="none"/>
          <w:lang w:val="en-US" w:eastAsia="zh-CN"/>
        </w:rPr>
        <w:t>是</w:t>
      </w:r>
      <w:r>
        <w:rPr>
          <w:rFonts w:hint="eastAsia" w:ascii="Times New Roman" w:hAnsi="Times New Roman" w:eastAsia="仿宋_GB2312" w:cs="Times New Roman"/>
          <w:sz w:val="32"/>
          <w:szCs w:val="32"/>
          <w:lang w:val="en-US" w:eastAsia="zh-CN"/>
        </w:rPr>
        <w:t>退休人员部分奖补未发放；二是退休人员医疗补助</w:t>
      </w:r>
      <w:r>
        <w:rPr>
          <w:rFonts w:hint="eastAsia" w:ascii="Times New Roman" w:hAnsi="Times New Roman" w:eastAsia="仿宋_GB2312" w:cs="Times New Roman"/>
          <w:b w:val="0"/>
          <w:bCs w:val="0"/>
          <w:kern w:val="0"/>
          <w:sz w:val="32"/>
          <w:szCs w:val="32"/>
          <w:lang w:val="en-US" w:eastAsia="zh-CN" w:bidi="ar-SA"/>
        </w:rPr>
        <w:t>缴费费率下调2%。</w:t>
      </w:r>
    </w:p>
    <w:p>
      <w:pPr>
        <w:keepNext w:val="0"/>
        <w:keepLines w:val="0"/>
        <w:pageBreakBefore w:val="0"/>
        <w:numPr>
          <w:ilvl w:val="0"/>
          <w:numId w:val="0"/>
        </w:numPr>
        <w:kinsoku/>
        <w:wordWrap/>
        <w:topLinePunct w:val="0"/>
        <w:bidi w:val="0"/>
        <w:snapToGrid/>
        <w:spacing w:line="560" w:lineRule="exact"/>
        <w:ind w:left="0" w:leftChars="0" w:right="0" w:rightChars="0" w:firstLine="643"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lang w:val="en-US" w:eastAsia="zh-CN"/>
        </w:rPr>
        <w:t>.社会保障和就业</w:t>
      </w:r>
      <w:r>
        <w:rPr>
          <w:rFonts w:hint="default" w:ascii="Times New Roman" w:hAnsi="Times New Roman" w:eastAsia="仿宋_GB2312" w:cs="Times New Roman"/>
          <w:b/>
          <w:bCs/>
          <w:kern w:val="0"/>
          <w:sz w:val="32"/>
          <w:szCs w:val="32"/>
          <w:lang w:eastAsia="zh-CN"/>
        </w:rPr>
        <w:t>（类）</w:t>
      </w:r>
      <w:r>
        <w:rPr>
          <w:rFonts w:hint="default" w:ascii="Times New Roman" w:hAnsi="Times New Roman" w:eastAsia="仿宋_GB2312" w:cs="Times New Roman"/>
          <w:b/>
          <w:bCs/>
          <w:kern w:val="0"/>
          <w:sz w:val="32"/>
          <w:szCs w:val="32"/>
          <w:lang w:val="en-US" w:eastAsia="zh-CN"/>
        </w:rPr>
        <w:t>行政事业单位</w:t>
      </w:r>
      <w:r>
        <w:rPr>
          <w:rFonts w:hint="eastAsia" w:ascii="Times New Roman" w:hAnsi="Times New Roman" w:eastAsia="仿宋_GB2312" w:cs="Times New Roman"/>
          <w:b/>
          <w:bCs/>
          <w:kern w:val="0"/>
          <w:sz w:val="32"/>
          <w:szCs w:val="32"/>
          <w:lang w:val="en-US" w:eastAsia="zh-CN"/>
        </w:rPr>
        <w:t>养老支出</w:t>
      </w:r>
      <w:r>
        <w:rPr>
          <w:rFonts w:hint="default" w:ascii="Times New Roman" w:hAnsi="Times New Roman" w:eastAsia="仿宋_GB2312" w:cs="Times New Roman"/>
          <w:b/>
          <w:bCs/>
          <w:kern w:val="0"/>
          <w:sz w:val="32"/>
          <w:szCs w:val="32"/>
          <w:lang w:eastAsia="zh-CN"/>
        </w:rPr>
        <w:t>（款）</w:t>
      </w:r>
      <w:r>
        <w:rPr>
          <w:rFonts w:hint="default" w:ascii="Times New Roman" w:hAnsi="Times New Roman" w:eastAsia="仿宋_GB2312" w:cs="Times New Roman"/>
          <w:b/>
          <w:bCs/>
          <w:kern w:val="0"/>
          <w:sz w:val="32"/>
          <w:szCs w:val="32"/>
          <w:lang w:val="en-US" w:eastAsia="zh-CN"/>
        </w:rPr>
        <w:t>机关事业单位基本养老保险缴费</w:t>
      </w:r>
      <w:r>
        <w:rPr>
          <w:rFonts w:hint="eastAsia" w:ascii="Times New Roman" w:hAnsi="Times New Roman" w:eastAsia="仿宋_GB2312" w:cs="Times New Roman"/>
          <w:b/>
          <w:bCs/>
          <w:kern w:val="0"/>
          <w:sz w:val="32"/>
          <w:szCs w:val="32"/>
          <w:lang w:val="en-US" w:eastAsia="zh-CN"/>
        </w:rPr>
        <w:t>支出</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default" w:ascii="Times New Roman" w:hAnsi="Times New Roman" w:eastAsia="仿宋_GB2312" w:cs="Times New Roman"/>
          <w:kern w:val="0"/>
          <w:sz w:val="32"/>
          <w:szCs w:val="32"/>
          <w:lang w:val="en-US" w:eastAsia="zh-CN"/>
        </w:rPr>
        <w:t>9</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460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元，支出决算为</w:t>
      </w:r>
      <w:r>
        <w:rPr>
          <w:rFonts w:hint="eastAsia" w:ascii="Times New Roman" w:hAnsi="Times New Roman" w:eastAsia="仿宋_GB2312" w:cs="Times New Roman"/>
          <w:kern w:val="0"/>
          <w:sz w:val="32"/>
          <w:szCs w:val="32"/>
          <w:highlight w:val="none"/>
          <w:lang w:eastAsia="zh-CN"/>
        </w:rPr>
        <w:t>94,216.02</w:t>
      </w:r>
      <w:r>
        <w:rPr>
          <w:rFonts w:hint="default" w:ascii="Times New Roman" w:hAnsi="Times New Roman" w:eastAsia="仿宋_GB2312" w:cs="Times New Roman"/>
          <w:kern w:val="0"/>
          <w:sz w:val="32"/>
          <w:szCs w:val="32"/>
        </w:rPr>
        <w:t>元，完成年初预算的</w:t>
      </w:r>
      <w:r>
        <w:rPr>
          <w:rFonts w:hint="eastAsia" w:ascii="Times New Roman" w:hAnsi="Times New Roman" w:eastAsia="仿宋_GB2312" w:cs="Times New Roman"/>
          <w:kern w:val="0"/>
          <w:sz w:val="32"/>
          <w:szCs w:val="32"/>
          <w:lang w:val="en-US" w:eastAsia="zh-CN"/>
        </w:rPr>
        <w:t>98.70</w:t>
      </w:r>
      <w:r>
        <w:rPr>
          <w:rFonts w:hint="default" w:ascii="Times New Roman" w:hAnsi="Times New Roman" w:eastAsia="仿宋_GB2312" w:cs="Times New Roman"/>
          <w:kern w:val="0"/>
          <w:sz w:val="32"/>
          <w:szCs w:val="32"/>
          <w:u w:val="none"/>
          <w:lang w:val="en-US" w:eastAsia="zh-CN"/>
        </w:rPr>
        <w:t>%</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决算数</w:t>
      </w:r>
      <w:r>
        <w:rPr>
          <w:rFonts w:hint="eastAsia" w:ascii="Times New Roman" w:hAnsi="Times New Roman" w:eastAsia="仿宋_GB2312" w:cs="Times New Roman"/>
          <w:kern w:val="0"/>
          <w:sz w:val="32"/>
          <w:szCs w:val="32"/>
          <w:lang w:val="en-US" w:eastAsia="zh-CN"/>
        </w:rPr>
        <w:t>小</w:t>
      </w:r>
      <w:r>
        <w:rPr>
          <w:rFonts w:hint="eastAsia" w:ascii="Times New Roman" w:hAnsi="Times New Roman" w:eastAsia="仿宋_GB2312" w:cs="Times New Roman"/>
          <w:kern w:val="0"/>
          <w:sz w:val="32"/>
          <w:szCs w:val="32"/>
          <w:lang w:eastAsia="zh-CN"/>
        </w:rPr>
        <w:t>于</w:t>
      </w:r>
      <w:r>
        <w:rPr>
          <w:rFonts w:hint="default" w:ascii="Times New Roman" w:hAnsi="Times New Roman" w:eastAsia="仿宋_GB2312" w:cs="Times New Roman"/>
          <w:kern w:val="0"/>
          <w:sz w:val="32"/>
          <w:szCs w:val="32"/>
        </w:rPr>
        <w:t>预算数</w:t>
      </w:r>
      <w:r>
        <w:rPr>
          <w:rFonts w:hint="eastAsia" w:ascii="Times New Roman" w:hAnsi="Times New Roman" w:eastAsia="仿宋_GB2312" w:cs="Times New Roman"/>
          <w:kern w:val="0"/>
          <w:sz w:val="32"/>
          <w:szCs w:val="32"/>
          <w:lang w:eastAsia="zh-CN"/>
        </w:rPr>
        <w:t>的主要原因是</w:t>
      </w:r>
      <w:r>
        <w:rPr>
          <w:rFonts w:hint="eastAsia" w:ascii="Times New Roman" w:hAnsi="Times New Roman" w:eastAsia="仿宋_GB2312" w:cs="Times New Roman"/>
          <w:kern w:val="0"/>
          <w:sz w:val="32"/>
          <w:szCs w:val="32"/>
          <w:lang w:val="en-US" w:eastAsia="zh-CN"/>
        </w:rPr>
        <w:t>年初编制预算时按人员相关支出增长因素予以测算安排，本年度人员无变动，实际支出未实现预期增长，导致决算数低于预算数。</w:t>
      </w:r>
    </w:p>
    <w:p>
      <w:pPr>
        <w:keepLines w:val="0"/>
        <w:pageBreakBefore w:val="0"/>
        <w:kinsoku/>
        <w:wordWrap/>
        <w:overflowPunct/>
        <w:topLinePunct w:val="0"/>
        <w:bidi w:val="0"/>
        <w:snapToGrid/>
        <w:spacing w:line="560" w:lineRule="exact"/>
        <w:ind w:left="0" w:leftChars="0" w:right="0" w:rightChars="0" w:firstLine="643" w:firstLineChars="200"/>
        <w:jc w:val="both"/>
        <w:textAlignment w:val="auto"/>
        <w:outlineLvl w:val="1"/>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b/>
          <w:bCs/>
          <w:kern w:val="0"/>
          <w:sz w:val="32"/>
          <w:szCs w:val="32"/>
          <w:lang w:val="en-US" w:eastAsia="zh-CN"/>
        </w:rPr>
        <w:t>3.</w:t>
      </w:r>
      <w:r>
        <w:rPr>
          <w:rFonts w:hint="default" w:ascii="Times New Roman" w:hAnsi="Times New Roman" w:eastAsia="仿宋_GB2312" w:cs="Times New Roman"/>
          <w:b/>
          <w:bCs/>
          <w:kern w:val="0"/>
          <w:sz w:val="32"/>
          <w:szCs w:val="32"/>
          <w:lang w:val="en-US" w:eastAsia="zh-CN"/>
        </w:rPr>
        <w:t>社会保障和就业</w:t>
      </w:r>
      <w:r>
        <w:rPr>
          <w:rFonts w:hint="default" w:ascii="Times New Roman" w:hAnsi="Times New Roman" w:eastAsia="仿宋_GB2312" w:cs="Times New Roman"/>
          <w:b/>
          <w:bCs/>
          <w:kern w:val="0"/>
          <w:sz w:val="32"/>
          <w:szCs w:val="32"/>
          <w:lang w:eastAsia="zh-CN"/>
        </w:rPr>
        <w:t>（类）</w:t>
      </w:r>
      <w:r>
        <w:rPr>
          <w:rFonts w:hint="default" w:ascii="Times New Roman" w:hAnsi="Times New Roman" w:eastAsia="仿宋_GB2312" w:cs="Times New Roman"/>
          <w:b/>
          <w:bCs/>
          <w:kern w:val="0"/>
          <w:sz w:val="32"/>
          <w:szCs w:val="32"/>
          <w:lang w:val="en-US" w:eastAsia="zh-CN"/>
        </w:rPr>
        <w:t>行政事业单位</w:t>
      </w:r>
      <w:r>
        <w:rPr>
          <w:rFonts w:hint="eastAsia" w:ascii="Times New Roman" w:hAnsi="Times New Roman" w:eastAsia="仿宋_GB2312" w:cs="Times New Roman"/>
          <w:b/>
          <w:bCs/>
          <w:kern w:val="0"/>
          <w:sz w:val="32"/>
          <w:szCs w:val="32"/>
          <w:lang w:val="en-US" w:eastAsia="zh-CN"/>
        </w:rPr>
        <w:t>养老支出</w:t>
      </w:r>
      <w:r>
        <w:rPr>
          <w:rFonts w:hint="default" w:ascii="Times New Roman" w:hAnsi="Times New Roman" w:eastAsia="仿宋_GB2312" w:cs="Times New Roman"/>
          <w:b/>
          <w:bCs/>
          <w:kern w:val="0"/>
          <w:sz w:val="32"/>
          <w:szCs w:val="32"/>
          <w:lang w:eastAsia="zh-CN"/>
        </w:rPr>
        <w:t>（款）</w:t>
      </w:r>
      <w:r>
        <w:rPr>
          <w:rFonts w:hint="default" w:ascii="Times New Roman" w:hAnsi="Times New Roman" w:eastAsia="仿宋_GB2312" w:cs="Times New Roman"/>
          <w:b/>
          <w:bCs/>
          <w:kern w:val="0"/>
          <w:sz w:val="32"/>
          <w:szCs w:val="32"/>
          <w:lang w:val="en-US" w:eastAsia="zh-CN"/>
        </w:rPr>
        <w:t>机关事业单位职业年金缴费</w:t>
      </w:r>
      <w:r>
        <w:rPr>
          <w:rFonts w:hint="eastAsia" w:ascii="Times New Roman" w:hAnsi="Times New Roman" w:eastAsia="仿宋_GB2312" w:cs="Times New Roman"/>
          <w:b/>
          <w:bCs/>
          <w:kern w:val="0"/>
          <w:sz w:val="32"/>
          <w:szCs w:val="32"/>
          <w:lang w:val="en-US" w:eastAsia="zh-CN"/>
        </w:rPr>
        <w:t>支出</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default" w:ascii="Times New Roman" w:hAnsi="Times New Roman" w:eastAsia="仿宋_GB2312" w:cs="Times New Roman"/>
          <w:kern w:val="0"/>
          <w:sz w:val="32"/>
          <w:szCs w:val="32"/>
          <w:highlight w:val="none"/>
        </w:rPr>
        <w:t>4</w:t>
      </w:r>
      <w:r>
        <w:rPr>
          <w:rFonts w:hint="eastAsia" w:ascii="Times New Roman" w:hAnsi="Times New Roman" w:eastAsia="仿宋_GB2312" w:cs="Times New Roman"/>
          <w:kern w:val="0"/>
          <w:sz w:val="32"/>
          <w:szCs w:val="32"/>
          <w:highlight w:val="none"/>
          <w:lang w:val="en-US" w:eastAsia="zh-CN"/>
        </w:rPr>
        <w:t>7</w:t>
      </w: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730</w:t>
      </w:r>
      <w:r>
        <w:rPr>
          <w:rFonts w:hint="default" w:ascii="Times New Roman" w:hAnsi="Times New Roman" w:eastAsia="仿宋_GB2312" w:cs="Times New Roman"/>
          <w:kern w:val="0"/>
          <w:sz w:val="32"/>
          <w:szCs w:val="32"/>
          <w:highlight w:val="none"/>
        </w:rPr>
        <w:t>.00</w:t>
      </w:r>
      <w:r>
        <w:rPr>
          <w:rFonts w:hint="default" w:ascii="Times New Roman" w:hAnsi="Times New Roman" w:eastAsia="仿宋_GB2312" w:cs="Times New Roman"/>
          <w:kern w:val="0"/>
          <w:sz w:val="32"/>
          <w:szCs w:val="32"/>
        </w:rPr>
        <w:t>元，支出决算为</w:t>
      </w:r>
      <w:r>
        <w:rPr>
          <w:rFonts w:hint="eastAsia" w:ascii="Times New Roman" w:hAnsi="Times New Roman" w:eastAsia="仿宋_GB2312" w:cs="Times New Roman"/>
          <w:kern w:val="0"/>
          <w:sz w:val="32"/>
          <w:szCs w:val="32"/>
          <w:u w:val="none"/>
          <w:lang w:val="en-US" w:eastAsia="zh-CN"/>
        </w:rPr>
        <w:t xml:space="preserve">93,467.57 </w:t>
      </w:r>
      <w:r>
        <w:rPr>
          <w:rFonts w:hint="default" w:ascii="Times New Roman" w:hAnsi="Times New Roman" w:eastAsia="仿宋_GB2312" w:cs="Times New Roman"/>
          <w:kern w:val="0"/>
          <w:sz w:val="32"/>
          <w:szCs w:val="32"/>
        </w:rPr>
        <w:t>元，完成年初预算的</w:t>
      </w:r>
      <w:r>
        <w:rPr>
          <w:rFonts w:hint="eastAsia" w:ascii="Times New Roman" w:hAnsi="Times New Roman" w:eastAsia="仿宋_GB2312" w:cs="Times New Roman"/>
          <w:kern w:val="0"/>
          <w:sz w:val="32"/>
          <w:szCs w:val="32"/>
          <w:u w:val="none"/>
          <w:lang w:val="en-US" w:eastAsia="zh-CN"/>
        </w:rPr>
        <w:t>195.83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决算数</w:t>
      </w:r>
      <w:r>
        <w:rPr>
          <w:rFonts w:hint="default" w:ascii="Times New Roman" w:hAnsi="Times New Roman" w:eastAsia="仿宋_GB2312" w:cs="Times New Roman"/>
          <w:kern w:val="0"/>
          <w:sz w:val="32"/>
          <w:szCs w:val="32"/>
          <w:lang w:eastAsia="zh-CN"/>
        </w:rPr>
        <w:t>大于预算数的主要原因是</w:t>
      </w:r>
      <w:r>
        <w:rPr>
          <w:rFonts w:hint="eastAsia" w:ascii="Times New Roman" w:hAnsi="Times New Roman" w:eastAsia="仿宋_GB2312" w:cs="Times New Roman"/>
          <w:kern w:val="0"/>
          <w:sz w:val="32"/>
          <w:szCs w:val="32"/>
          <w:lang w:eastAsia="zh-CN"/>
        </w:rPr>
        <w:t>年中追加</w:t>
      </w:r>
      <w:r>
        <w:rPr>
          <w:rFonts w:hint="default" w:ascii="Times New Roman" w:hAnsi="Times New Roman" w:eastAsia="仿宋_GB2312" w:cs="Times New Roman"/>
          <w:kern w:val="0"/>
          <w:sz w:val="32"/>
          <w:szCs w:val="32"/>
        </w:rPr>
        <w:t>做实干部职工以前年度职业年金</w:t>
      </w:r>
      <w:r>
        <w:rPr>
          <w:rFonts w:hint="eastAsia"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3" w:firstLineChars="200"/>
        <w:jc w:val="both"/>
        <w:textAlignment w:val="auto"/>
        <w:outlineLvl w:val="1"/>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bCs/>
          <w:kern w:val="0"/>
          <w:sz w:val="32"/>
          <w:szCs w:val="32"/>
          <w:lang w:val="en-US" w:eastAsia="zh-CN"/>
        </w:rPr>
        <w:t>4</w:t>
      </w:r>
      <w:r>
        <w:rPr>
          <w:rFonts w:hint="default" w:ascii="Times New Roman" w:hAnsi="Times New Roman" w:eastAsia="仿宋_GB2312" w:cs="Times New Roman"/>
          <w:b/>
          <w:bCs/>
          <w:kern w:val="0"/>
          <w:sz w:val="32"/>
          <w:szCs w:val="32"/>
          <w:lang w:val="en-US" w:eastAsia="zh-CN"/>
        </w:rPr>
        <w:t>.社会保障和就业</w:t>
      </w:r>
      <w:r>
        <w:rPr>
          <w:rFonts w:hint="default" w:ascii="Times New Roman" w:hAnsi="Times New Roman" w:eastAsia="仿宋_GB2312" w:cs="Times New Roman"/>
          <w:b/>
          <w:bCs/>
          <w:kern w:val="0"/>
          <w:sz w:val="32"/>
          <w:szCs w:val="32"/>
          <w:lang w:eastAsia="zh-CN"/>
        </w:rPr>
        <w:t>（类）</w:t>
      </w:r>
      <w:r>
        <w:rPr>
          <w:rFonts w:hint="eastAsia" w:ascii="Times New Roman" w:hAnsi="Times New Roman" w:eastAsia="仿宋_GB2312" w:cs="Times New Roman"/>
          <w:b/>
          <w:bCs/>
          <w:kern w:val="0"/>
          <w:sz w:val="32"/>
          <w:szCs w:val="32"/>
          <w:lang w:val="en-US" w:eastAsia="zh-CN"/>
        </w:rPr>
        <w:t>红十字事业</w:t>
      </w:r>
      <w:r>
        <w:rPr>
          <w:rFonts w:hint="default" w:ascii="Times New Roman" w:hAnsi="Times New Roman" w:eastAsia="仿宋_GB2312" w:cs="Times New Roman"/>
          <w:b/>
          <w:bCs/>
          <w:kern w:val="0"/>
          <w:sz w:val="32"/>
          <w:szCs w:val="32"/>
          <w:lang w:eastAsia="zh-CN"/>
        </w:rPr>
        <w:t>（款）</w:t>
      </w:r>
      <w:r>
        <w:rPr>
          <w:rFonts w:hint="eastAsia" w:ascii="Times New Roman" w:hAnsi="Times New Roman" w:eastAsia="仿宋_GB2312" w:cs="Times New Roman"/>
          <w:b/>
          <w:bCs/>
          <w:kern w:val="0"/>
          <w:sz w:val="32"/>
          <w:szCs w:val="32"/>
          <w:lang w:val="en-US" w:eastAsia="zh-CN"/>
        </w:rPr>
        <w:t>行政运行</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default" w:ascii="Times New Roman" w:hAnsi="Times New Roman" w:eastAsia="仿宋_GB2312" w:cs="Times New Roman"/>
          <w:kern w:val="0"/>
          <w:sz w:val="32"/>
          <w:szCs w:val="32"/>
          <w:highlight w:val="none"/>
        </w:rPr>
        <w:t>8</w:t>
      </w:r>
      <w:r>
        <w:rPr>
          <w:rFonts w:hint="eastAsia" w:ascii="Times New Roman" w:hAnsi="Times New Roman" w:eastAsia="仿宋_GB2312" w:cs="Times New Roman"/>
          <w:kern w:val="0"/>
          <w:sz w:val="32"/>
          <w:szCs w:val="32"/>
          <w:highlight w:val="none"/>
          <w:lang w:val="en-US" w:eastAsia="zh-CN"/>
        </w:rPr>
        <w:t>26</w:t>
      </w: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782</w:t>
      </w:r>
      <w:r>
        <w:rPr>
          <w:rFonts w:hint="default" w:ascii="Times New Roman" w:hAnsi="Times New Roman" w:eastAsia="仿宋_GB2312" w:cs="Times New Roman"/>
          <w:kern w:val="0"/>
          <w:sz w:val="32"/>
          <w:szCs w:val="32"/>
          <w:highlight w:val="none"/>
        </w:rPr>
        <w:t>.00</w:t>
      </w:r>
      <w:r>
        <w:rPr>
          <w:rFonts w:hint="default" w:ascii="Times New Roman" w:hAnsi="Times New Roman" w:eastAsia="仿宋_GB2312" w:cs="Times New Roman"/>
          <w:kern w:val="0"/>
          <w:sz w:val="32"/>
          <w:szCs w:val="32"/>
          <w:u w:val="none"/>
          <w:lang w:val="en-US" w:eastAsia="zh-CN"/>
        </w:rPr>
        <w:t>元，支出决算为</w:t>
      </w:r>
      <w:r>
        <w:rPr>
          <w:rFonts w:hint="eastAsia" w:ascii="Times New Roman" w:hAnsi="Times New Roman" w:eastAsia="仿宋_GB2312" w:cs="Times New Roman"/>
          <w:kern w:val="0"/>
          <w:sz w:val="32"/>
          <w:szCs w:val="32"/>
          <w:u w:val="none"/>
          <w:lang w:val="en-US" w:eastAsia="zh-CN"/>
        </w:rPr>
        <w:t>831,804.00</w:t>
      </w:r>
      <w:r>
        <w:rPr>
          <w:rFonts w:hint="default" w:ascii="Times New Roman" w:hAnsi="Times New Roman" w:eastAsia="仿宋_GB2312" w:cs="Times New Roman"/>
          <w:kern w:val="0"/>
          <w:sz w:val="32"/>
          <w:szCs w:val="32"/>
          <w:u w:val="none"/>
          <w:lang w:val="en-US" w:eastAsia="zh-CN"/>
        </w:rPr>
        <w:t>元，完成年初预算的</w:t>
      </w:r>
      <w:r>
        <w:rPr>
          <w:rFonts w:hint="eastAsia" w:ascii="Times New Roman" w:hAnsi="Times New Roman" w:eastAsia="仿宋_GB2312" w:cs="Times New Roman"/>
          <w:kern w:val="0"/>
          <w:sz w:val="32"/>
          <w:szCs w:val="32"/>
          <w:u w:val="none"/>
          <w:lang w:val="en-US" w:eastAsia="zh-CN"/>
        </w:rPr>
        <w:t>100.61</w:t>
      </w:r>
      <w:r>
        <w:rPr>
          <w:rFonts w:hint="default" w:ascii="Times New Roman" w:hAnsi="Times New Roman" w:eastAsia="仿宋_GB2312" w:cs="Times New Roman"/>
          <w:kern w:val="0"/>
          <w:sz w:val="32"/>
          <w:szCs w:val="32"/>
          <w:u w:val="none"/>
          <w:lang w:val="en-US" w:eastAsia="zh-CN"/>
        </w:rPr>
        <w:t>%，</w:t>
      </w:r>
      <w:r>
        <w:rPr>
          <w:rFonts w:hint="default" w:ascii="Times New Roman" w:hAnsi="Times New Roman" w:eastAsia="仿宋_GB2312" w:cs="Times New Roman"/>
          <w:kern w:val="0"/>
          <w:sz w:val="32"/>
          <w:szCs w:val="32"/>
        </w:rPr>
        <w:t>决算数</w:t>
      </w:r>
      <w:r>
        <w:rPr>
          <w:rFonts w:hint="eastAsia" w:ascii="Times New Roman" w:hAnsi="Times New Roman" w:eastAsia="仿宋_GB2312" w:cs="Times New Roman"/>
          <w:kern w:val="0"/>
          <w:sz w:val="32"/>
          <w:szCs w:val="32"/>
          <w:lang w:val="en-US" w:eastAsia="zh-CN"/>
        </w:rPr>
        <w:t>大</w:t>
      </w:r>
      <w:r>
        <w:rPr>
          <w:rFonts w:hint="default" w:ascii="Times New Roman" w:hAnsi="Times New Roman" w:eastAsia="仿宋_GB2312" w:cs="Times New Roman"/>
          <w:kern w:val="0"/>
          <w:sz w:val="32"/>
          <w:szCs w:val="32"/>
          <w:lang w:eastAsia="zh-CN"/>
        </w:rPr>
        <w:t>于预算数的主要原因是</w:t>
      </w:r>
      <w:r>
        <w:rPr>
          <w:rFonts w:hint="eastAsia" w:ascii="Times New Roman" w:hAnsi="Times New Roman" w:eastAsia="仿宋_GB2312" w:cs="Times New Roman"/>
          <w:kern w:val="0"/>
          <w:sz w:val="32"/>
          <w:szCs w:val="32"/>
          <w:highlight w:val="none"/>
          <w:lang w:eastAsia="zh-CN"/>
        </w:rPr>
        <w:t>本年</w:t>
      </w:r>
      <w:r>
        <w:rPr>
          <w:rFonts w:hint="eastAsia" w:ascii="Times New Roman" w:hAnsi="Times New Roman" w:eastAsia="仿宋_GB2312" w:cs="Times New Roman"/>
          <w:kern w:val="0"/>
          <w:sz w:val="32"/>
          <w:szCs w:val="32"/>
          <w:highlight w:val="none"/>
          <w:lang w:val="en-US" w:eastAsia="zh-CN"/>
        </w:rPr>
        <w:t>人员工资标准上调，同时补发上年度增资部分，导致决算数大于大于预算数。</w:t>
      </w:r>
    </w:p>
    <w:p>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3" w:firstLineChars="200"/>
        <w:jc w:val="both"/>
        <w:textAlignment w:val="auto"/>
        <w:rPr>
          <w:rFonts w:hint="eastAsia" w:hAnsi="Times New Roman" w:cs="Times New Roman"/>
          <w:kern w:val="0"/>
          <w:sz w:val="32"/>
          <w:szCs w:val="32"/>
          <w:lang w:val="en-US" w:eastAsia="zh-CN"/>
        </w:rPr>
      </w:pPr>
      <w:r>
        <w:rPr>
          <w:rFonts w:hint="eastAsia" w:hAnsi="Times New Roman" w:cs="Times New Roman"/>
          <w:b/>
          <w:bCs/>
          <w:kern w:val="0"/>
          <w:sz w:val="32"/>
          <w:szCs w:val="32"/>
          <w:lang w:val="en-US" w:eastAsia="zh-CN"/>
        </w:rPr>
        <w:t>5</w:t>
      </w:r>
      <w:r>
        <w:rPr>
          <w:rFonts w:hint="default" w:ascii="Times New Roman" w:hAnsi="Times New Roman" w:eastAsia="仿宋_GB2312" w:cs="Times New Roman"/>
          <w:b/>
          <w:bCs/>
          <w:kern w:val="0"/>
          <w:sz w:val="32"/>
          <w:szCs w:val="32"/>
          <w:lang w:val="en-US" w:eastAsia="zh-CN"/>
        </w:rPr>
        <w:t>.社会保障和就业</w:t>
      </w:r>
      <w:r>
        <w:rPr>
          <w:rFonts w:hint="default" w:ascii="Times New Roman" w:hAnsi="Times New Roman" w:eastAsia="仿宋_GB2312" w:cs="Times New Roman"/>
          <w:b/>
          <w:bCs/>
          <w:kern w:val="0"/>
          <w:sz w:val="32"/>
          <w:szCs w:val="32"/>
          <w:lang w:eastAsia="zh-CN"/>
        </w:rPr>
        <w:t>（类）</w:t>
      </w:r>
      <w:r>
        <w:rPr>
          <w:rFonts w:hint="eastAsia" w:ascii="Times New Roman" w:hAnsi="Times New Roman" w:eastAsia="仿宋_GB2312" w:cs="Times New Roman"/>
          <w:b/>
          <w:bCs/>
          <w:kern w:val="0"/>
          <w:sz w:val="32"/>
          <w:szCs w:val="32"/>
          <w:lang w:val="en-US" w:eastAsia="zh-CN"/>
        </w:rPr>
        <w:t>红十字事业</w:t>
      </w:r>
      <w:r>
        <w:rPr>
          <w:rFonts w:hint="default" w:ascii="Times New Roman" w:hAnsi="Times New Roman" w:eastAsia="仿宋_GB2312" w:cs="Times New Roman"/>
          <w:b/>
          <w:bCs/>
          <w:kern w:val="0"/>
          <w:sz w:val="32"/>
          <w:szCs w:val="32"/>
          <w:lang w:eastAsia="zh-CN"/>
        </w:rPr>
        <w:t>（款）</w:t>
      </w:r>
      <w:r>
        <w:rPr>
          <w:rFonts w:hint="eastAsia" w:hAnsi="Times New Roman" w:cs="Times New Roman"/>
          <w:b/>
          <w:bCs/>
          <w:kern w:val="0"/>
          <w:sz w:val="32"/>
          <w:szCs w:val="32"/>
          <w:lang w:val="en-US" w:eastAsia="zh-CN"/>
        </w:rPr>
        <w:t>一般行政管理事务</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eastAsia" w:ascii="Times New Roman" w:hAnsi="Times New Roman" w:eastAsia="仿宋_GB2312" w:cs="Times New Roman"/>
          <w:kern w:val="0"/>
          <w:sz w:val="32"/>
          <w:szCs w:val="32"/>
          <w:highlight w:val="none"/>
          <w:lang w:val="en-US" w:eastAsia="zh-CN"/>
        </w:rPr>
        <w:t>2</w:t>
      </w:r>
      <w:r>
        <w:rPr>
          <w:rFonts w:hint="eastAsia" w:hAnsi="Times New Roman" w:cs="Times New Roman"/>
          <w:kern w:val="0"/>
          <w:sz w:val="32"/>
          <w:szCs w:val="32"/>
          <w:highlight w:val="none"/>
          <w:lang w:val="en-US" w:eastAsia="zh-CN"/>
        </w:rPr>
        <w:t>00</w:t>
      </w:r>
      <w:r>
        <w:rPr>
          <w:rFonts w:hint="eastAsia" w:ascii="Times New Roman" w:hAnsi="Times New Roman" w:eastAsia="仿宋_GB2312" w:cs="Times New Roman"/>
          <w:kern w:val="0"/>
          <w:sz w:val="32"/>
          <w:szCs w:val="32"/>
          <w:highlight w:val="none"/>
          <w:lang w:val="en-US" w:eastAsia="zh-CN"/>
        </w:rPr>
        <w:t>,000.00</w:t>
      </w:r>
      <w:r>
        <w:rPr>
          <w:rFonts w:hint="default" w:ascii="Times New Roman" w:hAnsi="Times New Roman" w:eastAsia="仿宋_GB2312" w:cs="Times New Roman"/>
          <w:kern w:val="0"/>
          <w:sz w:val="32"/>
          <w:szCs w:val="32"/>
        </w:rPr>
        <w:t>元，支出决算为</w:t>
      </w:r>
      <w:r>
        <w:rPr>
          <w:rFonts w:hint="eastAsia" w:hAnsi="Times New Roman" w:cs="Times New Roman"/>
          <w:kern w:val="0"/>
          <w:sz w:val="32"/>
          <w:szCs w:val="32"/>
          <w:u w:val="none"/>
          <w:lang w:val="en-US" w:eastAsia="zh-CN"/>
        </w:rPr>
        <w:t>227,000.00</w:t>
      </w:r>
      <w:r>
        <w:rPr>
          <w:rFonts w:hint="default" w:ascii="Times New Roman" w:hAnsi="Times New Roman" w:eastAsia="仿宋_GB2312" w:cs="Times New Roman"/>
          <w:kern w:val="0"/>
          <w:sz w:val="32"/>
          <w:szCs w:val="32"/>
        </w:rPr>
        <w:t>元，完成年初预算的</w:t>
      </w:r>
      <w:r>
        <w:rPr>
          <w:rFonts w:hint="eastAsia" w:hAnsi="Times New Roman" w:cs="Times New Roman"/>
          <w:kern w:val="0"/>
          <w:sz w:val="32"/>
          <w:szCs w:val="32"/>
          <w:lang w:val="en-US" w:eastAsia="zh-CN"/>
        </w:rPr>
        <w:t>113.50</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决算数</w:t>
      </w:r>
      <w:r>
        <w:rPr>
          <w:rFonts w:hint="default" w:ascii="Times New Roman" w:hAnsi="Times New Roman" w:eastAsia="仿宋_GB2312" w:cs="Times New Roman"/>
          <w:kern w:val="0"/>
          <w:sz w:val="32"/>
          <w:szCs w:val="32"/>
          <w:lang w:eastAsia="zh-CN"/>
        </w:rPr>
        <w:t>大于预算数的主要原因</w:t>
      </w:r>
      <w:r>
        <w:rPr>
          <w:rFonts w:hint="eastAsia" w:hAnsi="Times New Roman" w:cs="Times New Roman"/>
          <w:kern w:val="0"/>
          <w:sz w:val="32"/>
          <w:szCs w:val="32"/>
          <w:lang w:val="en-US" w:eastAsia="zh-CN"/>
        </w:rPr>
        <w:t>是年中追加春节慰问金。</w:t>
      </w:r>
    </w:p>
    <w:p>
      <w:pPr>
        <w:keepLines w:val="0"/>
        <w:pageBreakBefore w:val="0"/>
        <w:kinsoku/>
        <w:wordWrap/>
        <w:topLinePunct w:val="0"/>
        <w:bidi w:val="0"/>
        <w:spacing w:line="560" w:lineRule="exact"/>
        <w:ind w:left="0" w:leftChars="0" w:right="0" w:rightChars="0" w:firstLine="643" w:firstLineChars="200"/>
        <w:jc w:val="both"/>
        <w:textAlignment w:val="auto"/>
        <w:rPr>
          <w:rFonts w:hint="default"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6</w:t>
      </w:r>
      <w:r>
        <w:rPr>
          <w:rFonts w:hint="default" w:ascii="Times New Roman" w:hAnsi="Times New Roman" w:eastAsia="仿宋_GB2312" w:cs="Times New Roman"/>
          <w:b/>
          <w:bCs/>
          <w:kern w:val="0"/>
          <w:sz w:val="32"/>
          <w:szCs w:val="32"/>
          <w:lang w:val="en-US" w:eastAsia="zh-CN" w:bidi="ar-SA"/>
        </w:rPr>
        <w:t>.社会保障和就业（类）</w:t>
      </w:r>
      <w:r>
        <w:rPr>
          <w:rFonts w:hint="eastAsia" w:ascii="Times New Roman" w:hAnsi="Times New Roman" w:eastAsia="仿宋_GB2312" w:cs="Times New Roman"/>
          <w:b/>
          <w:bCs/>
          <w:kern w:val="0"/>
          <w:sz w:val="32"/>
          <w:szCs w:val="32"/>
          <w:lang w:val="en-US" w:eastAsia="zh-CN" w:bidi="ar-SA"/>
        </w:rPr>
        <w:t>红十字事业</w:t>
      </w:r>
      <w:r>
        <w:rPr>
          <w:rFonts w:hint="default" w:ascii="Times New Roman" w:hAnsi="Times New Roman" w:eastAsia="仿宋_GB2312" w:cs="Times New Roman"/>
          <w:b/>
          <w:bCs/>
          <w:kern w:val="0"/>
          <w:sz w:val="32"/>
          <w:szCs w:val="32"/>
          <w:lang w:val="en-US" w:eastAsia="zh-CN" w:bidi="ar-SA"/>
        </w:rPr>
        <w:t>（款）</w:t>
      </w:r>
      <w:r>
        <w:rPr>
          <w:rFonts w:hint="eastAsia" w:ascii="Times New Roman" w:hAnsi="Times New Roman" w:eastAsia="仿宋_GB2312" w:cs="Times New Roman"/>
          <w:b/>
          <w:bCs/>
          <w:kern w:val="0"/>
          <w:sz w:val="32"/>
          <w:szCs w:val="32"/>
          <w:lang w:val="en-US" w:eastAsia="zh-CN" w:bidi="ar-SA"/>
        </w:rPr>
        <w:t>其他红十字事业支出</w:t>
      </w:r>
      <w:r>
        <w:rPr>
          <w:rFonts w:hint="default" w:ascii="Times New Roman" w:hAnsi="Times New Roman" w:eastAsia="仿宋_GB2312" w:cs="Times New Roman"/>
          <w:b/>
          <w:bCs/>
          <w:kern w:val="0"/>
          <w:sz w:val="32"/>
          <w:szCs w:val="32"/>
          <w:lang w:val="en-US" w:eastAsia="zh-CN" w:bidi="ar-SA"/>
        </w:rPr>
        <w:t>（项）。</w:t>
      </w:r>
      <w:r>
        <w:rPr>
          <w:rFonts w:hint="default" w:ascii="Times New Roman" w:hAnsi="Times New Roman" w:eastAsia="仿宋_GB2312" w:cs="Times New Roman"/>
          <w:b w:val="0"/>
          <w:bCs w:val="0"/>
          <w:kern w:val="0"/>
          <w:sz w:val="32"/>
          <w:szCs w:val="32"/>
          <w:lang w:val="en-US" w:eastAsia="zh-CN" w:bidi="ar-SA"/>
        </w:rPr>
        <w:t>年初预算为</w:t>
      </w:r>
      <w:r>
        <w:rPr>
          <w:rFonts w:hint="eastAsia" w:ascii="Times New Roman" w:hAnsi="Times New Roman" w:eastAsia="仿宋_GB2312" w:cs="Times New Roman"/>
          <w:b w:val="0"/>
          <w:bCs w:val="0"/>
          <w:kern w:val="0"/>
          <w:sz w:val="32"/>
          <w:szCs w:val="32"/>
          <w:lang w:val="en-US" w:eastAsia="zh-CN" w:bidi="ar-SA"/>
        </w:rPr>
        <w:t>0.00</w:t>
      </w:r>
      <w:r>
        <w:rPr>
          <w:rFonts w:hint="default" w:ascii="Times New Roman" w:hAnsi="Times New Roman" w:eastAsia="仿宋_GB2312" w:cs="Times New Roman"/>
          <w:b w:val="0"/>
          <w:bCs w:val="0"/>
          <w:kern w:val="0"/>
          <w:sz w:val="32"/>
          <w:szCs w:val="32"/>
          <w:lang w:val="en-US" w:eastAsia="zh-CN" w:bidi="ar-SA"/>
        </w:rPr>
        <w:t>元，支出决算为</w:t>
      </w:r>
      <w:r>
        <w:rPr>
          <w:rFonts w:hint="eastAsia" w:ascii="Times New Roman" w:hAnsi="Times New Roman" w:eastAsia="仿宋_GB2312" w:cs="Times New Roman"/>
          <w:b w:val="0"/>
          <w:bCs w:val="0"/>
          <w:kern w:val="0"/>
          <w:sz w:val="32"/>
          <w:szCs w:val="32"/>
          <w:lang w:val="en-US" w:eastAsia="zh-CN" w:bidi="ar-SA"/>
        </w:rPr>
        <w:t>237,000.00</w:t>
      </w:r>
      <w:r>
        <w:rPr>
          <w:rFonts w:hint="default" w:ascii="Times New Roman" w:hAnsi="Times New Roman" w:eastAsia="仿宋_GB2312" w:cs="Times New Roman"/>
          <w:b w:val="0"/>
          <w:bCs w:val="0"/>
          <w:kern w:val="0"/>
          <w:sz w:val="32"/>
          <w:szCs w:val="32"/>
          <w:lang w:val="en-US" w:eastAsia="zh-CN" w:bidi="ar-SA"/>
        </w:rPr>
        <w:t>元，决算数大于预算数的主要原因</w:t>
      </w:r>
      <w:r>
        <w:rPr>
          <w:rFonts w:hint="eastAsia" w:ascii="Times New Roman" w:hAnsi="Times New Roman" w:eastAsia="仿宋_GB2312" w:cs="Times New Roman"/>
          <w:b w:val="0"/>
          <w:bCs w:val="0"/>
          <w:kern w:val="0"/>
          <w:sz w:val="32"/>
          <w:szCs w:val="32"/>
          <w:lang w:val="en-US" w:eastAsia="zh-CN" w:bidi="ar-SA"/>
        </w:rPr>
        <w:t>是</w:t>
      </w:r>
      <w:r>
        <w:rPr>
          <w:rFonts w:hint="eastAsia" w:ascii="Times New Roman" w:hAnsi="Times New Roman" w:eastAsia="仿宋_GB2312" w:cs="Times New Roman"/>
          <w:color w:val="auto"/>
          <w:sz w:val="32"/>
          <w:szCs w:val="32"/>
          <w:lang w:val="en-US" w:eastAsia="zh-CN"/>
        </w:rPr>
        <w:t>年中追加自治区转移支付应急救护培训资金。</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right="0" w:rightChars="0" w:firstLine="643" w:firstLineChars="200"/>
        <w:jc w:val="both"/>
        <w:textAlignment w:val="auto"/>
        <w:rPr>
          <w:rFonts w:hint="eastAsia" w:ascii="Times New Roman" w:hAnsi="Times New Roman" w:eastAsia="仿宋_GB2312" w:cs="Times New Roman"/>
          <w:b w:val="0"/>
          <w:bCs w:val="0"/>
          <w:kern w:val="0"/>
          <w:sz w:val="32"/>
          <w:szCs w:val="32"/>
          <w:highlight w:val="none"/>
          <w:lang w:val="en-US" w:eastAsia="zh-CN" w:bidi="ar-SA"/>
        </w:rPr>
      </w:pPr>
      <w:r>
        <w:rPr>
          <w:rFonts w:hint="eastAsia" w:ascii="Times New Roman" w:hAnsi="Times New Roman" w:eastAsia="楷体_GB2312" w:cs="Times New Roman"/>
          <w:b/>
          <w:bCs/>
          <w:kern w:val="0"/>
          <w:sz w:val="32"/>
          <w:szCs w:val="32"/>
          <w:lang w:val="en-US" w:eastAsia="zh-CN"/>
        </w:rPr>
        <w:t>7</w:t>
      </w:r>
      <w:r>
        <w:rPr>
          <w:rFonts w:hint="eastAsia" w:ascii="Times New Roman" w:hAnsi="Times New Roman" w:eastAsia="仿宋_GB2312" w:cs="Times New Roman"/>
          <w:b/>
          <w:bCs/>
          <w:kern w:val="0"/>
          <w:sz w:val="32"/>
          <w:szCs w:val="32"/>
          <w:lang w:val="en-US" w:eastAsia="zh-CN"/>
        </w:rPr>
        <w:t>.</w:t>
      </w:r>
      <w:r>
        <w:rPr>
          <w:rFonts w:hint="default" w:ascii="Times New Roman" w:hAnsi="Times New Roman" w:eastAsia="仿宋_GB2312" w:cs="Times New Roman"/>
          <w:b/>
          <w:bCs/>
          <w:kern w:val="0"/>
          <w:sz w:val="32"/>
          <w:szCs w:val="32"/>
          <w:lang w:val="en-US" w:eastAsia="zh-CN"/>
        </w:rPr>
        <w:t>卫生健康</w:t>
      </w:r>
      <w:r>
        <w:rPr>
          <w:rFonts w:hint="eastAsia" w:ascii="Times New Roman" w:hAnsi="Times New Roman" w:eastAsia="仿宋_GB2312" w:cs="Times New Roman"/>
          <w:b/>
          <w:bCs/>
          <w:kern w:val="0"/>
          <w:sz w:val="32"/>
          <w:szCs w:val="32"/>
          <w:lang w:val="en-US" w:eastAsia="zh-CN"/>
        </w:rPr>
        <w:t>支出</w:t>
      </w:r>
      <w:r>
        <w:rPr>
          <w:rFonts w:hint="default" w:ascii="Times New Roman" w:hAnsi="Times New Roman" w:eastAsia="仿宋_GB2312" w:cs="Times New Roman"/>
          <w:b/>
          <w:bCs/>
          <w:kern w:val="0"/>
          <w:sz w:val="32"/>
          <w:szCs w:val="32"/>
          <w:lang w:val="en-US" w:eastAsia="zh-CN"/>
        </w:rPr>
        <w:t>（类）行政事业单位医疗（款）行政单位医疗</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eastAsia" w:ascii="Times New Roman" w:hAnsi="Times New Roman" w:eastAsia="仿宋_GB2312" w:cs="Times New Roman"/>
          <w:kern w:val="0"/>
          <w:sz w:val="32"/>
          <w:szCs w:val="32"/>
          <w:highlight w:val="none"/>
          <w:lang w:val="en-US" w:eastAsia="zh-CN"/>
        </w:rPr>
        <w:t>40</w:t>
      </w: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123</w:t>
      </w:r>
      <w:r>
        <w:rPr>
          <w:rFonts w:hint="default" w:ascii="Times New Roman" w:hAnsi="Times New Roman" w:eastAsia="仿宋_GB2312" w:cs="Times New Roman"/>
          <w:kern w:val="0"/>
          <w:sz w:val="32"/>
          <w:szCs w:val="32"/>
          <w:highlight w:val="none"/>
        </w:rPr>
        <w:t>.00</w:t>
      </w:r>
      <w:r>
        <w:rPr>
          <w:rFonts w:hint="default" w:ascii="Times New Roman" w:hAnsi="Times New Roman" w:eastAsia="仿宋_GB2312" w:cs="Times New Roman"/>
          <w:kern w:val="0"/>
          <w:sz w:val="32"/>
          <w:szCs w:val="32"/>
          <w:highlight w:val="none"/>
          <w:u w:val="none"/>
        </w:rPr>
        <w:t>元，支出决算为</w:t>
      </w:r>
      <w:r>
        <w:rPr>
          <w:rFonts w:hint="eastAsia" w:ascii="Times New Roman" w:hAnsi="Times New Roman" w:eastAsia="仿宋_GB2312" w:cs="Times New Roman"/>
          <w:kern w:val="0"/>
          <w:sz w:val="32"/>
          <w:szCs w:val="32"/>
          <w:highlight w:val="none"/>
          <w:u w:val="none"/>
          <w:lang w:val="en-US" w:eastAsia="zh-CN"/>
        </w:rPr>
        <w:t xml:space="preserve">40,176.24 </w:t>
      </w:r>
      <w:r>
        <w:rPr>
          <w:rFonts w:hint="default" w:ascii="Times New Roman" w:hAnsi="Times New Roman" w:eastAsia="仿宋_GB2312" w:cs="Times New Roman"/>
          <w:kern w:val="0"/>
          <w:sz w:val="32"/>
          <w:szCs w:val="32"/>
          <w:highlight w:val="none"/>
          <w:u w:val="none"/>
        </w:rPr>
        <w:t>元，完成年初预算的</w:t>
      </w:r>
      <w:r>
        <w:rPr>
          <w:rFonts w:hint="eastAsia" w:ascii="Times New Roman" w:hAnsi="Times New Roman" w:eastAsia="仿宋_GB2312" w:cs="Times New Roman"/>
          <w:kern w:val="0"/>
          <w:sz w:val="32"/>
          <w:szCs w:val="32"/>
          <w:highlight w:val="none"/>
          <w:u w:val="none"/>
          <w:lang w:val="en-US" w:eastAsia="zh-CN"/>
        </w:rPr>
        <w:t>100.13</w:t>
      </w:r>
      <w:r>
        <w:rPr>
          <w:rFonts w:hint="default" w:ascii="Times New Roman" w:hAnsi="Times New Roman" w:eastAsia="仿宋_GB2312" w:cs="Times New Roman"/>
          <w:kern w:val="0"/>
          <w:sz w:val="32"/>
          <w:szCs w:val="32"/>
          <w:highlight w:val="none"/>
          <w:u w:val="none"/>
        </w:rPr>
        <w:t>%</w:t>
      </w:r>
      <w:r>
        <w:rPr>
          <w:rFonts w:hint="default"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b w:val="0"/>
          <w:bCs w:val="0"/>
          <w:kern w:val="0"/>
          <w:sz w:val="32"/>
          <w:szCs w:val="32"/>
          <w:highlight w:val="none"/>
          <w:lang w:val="en-US" w:eastAsia="zh-CN" w:bidi="ar-SA"/>
        </w:rPr>
        <w:t>决算数</w:t>
      </w:r>
      <w:r>
        <w:rPr>
          <w:rFonts w:hint="eastAsia" w:ascii="Times New Roman" w:hAnsi="Times New Roman" w:eastAsia="仿宋_GB2312" w:cs="Times New Roman"/>
          <w:b w:val="0"/>
          <w:bCs w:val="0"/>
          <w:kern w:val="0"/>
          <w:sz w:val="32"/>
          <w:szCs w:val="32"/>
          <w:highlight w:val="none"/>
          <w:lang w:val="en-US" w:eastAsia="zh-CN" w:bidi="ar-SA"/>
        </w:rPr>
        <w:t>大于</w:t>
      </w:r>
      <w:r>
        <w:rPr>
          <w:rFonts w:hint="default" w:ascii="Times New Roman" w:hAnsi="Times New Roman" w:eastAsia="仿宋_GB2312" w:cs="Times New Roman"/>
          <w:b w:val="0"/>
          <w:bCs w:val="0"/>
          <w:kern w:val="0"/>
          <w:sz w:val="32"/>
          <w:szCs w:val="32"/>
          <w:highlight w:val="none"/>
          <w:lang w:val="en-US" w:eastAsia="zh-CN" w:bidi="ar-SA"/>
        </w:rPr>
        <w:t>预算数</w:t>
      </w:r>
      <w:r>
        <w:rPr>
          <w:rFonts w:hint="eastAsia" w:ascii="Times New Roman" w:hAnsi="Times New Roman" w:eastAsia="仿宋_GB2312" w:cs="Times New Roman"/>
          <w:b w:val="0"/>
          <w:bCs w:val="0"/>
          <w:kern w:val="0"/>
          <w:sz w:val="32"/>
          <w:szCs w:val="32"/>
          <w:highlight w:val="none"/>
          <w:lang w:val="en-US" w:eastAsia="zh-CN" w:bidi="ar-SA"/>
        </w:rPr>
        <w:t>的主要原因是上年结转医疗保险在本年缴纳。</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right="0" w:rightChars="0" w:firstLine="643" w:firstLineChars="200"/>
        <w:jc w:val="both"/>
        <w:textAlignment w:val="auto"/>
        <w:rPr>
          <w:rFonts w:hint="default" w:ascii="Times New Roman" w:hAnsi="Times New Roman" w:eastAsia="仿宋_GB2312" w:cs="Times New Roman"/>
          <w:kern w:val="0"/>
          <w:sz w:val="32"/>
          <w:szCs w:val="32"/>
          <w:highlight w:val="yellow"/>
          <w:lang w:eastAsia="zh-CN"/>
        </w:rPr>
      </w:pPr>
      <w:r>
        <w:rPr>
          <w:rFonts w:hint="eastAsia" w:ascii="Times New Roman" w:hAnsi="Times New Roman" w:eastAsia="仿宋_GB2312" w:cs="Times New Roman"/>
          <w:b/>
          <w:bCs/>
          <w:kern w:val="0"/>
          <w:sz w:val="32"/>
          <w:szCs w:val="32"/>
          <w:highlight w:val="none"/>
          <w:lang w:val="en-US" w:eastAsia="zh-CN"/>
        </w:rPr>
        <w:t>8</w:t>
      </w:r>
      <w:r>
        <w:rPr>
          <w:rFonts w:hint="default" w:ascii="Times New Roman" w:hAnsi="Times New Roman" w:eastAsia="仿宋_GB2312" w:cs="Times New Roman"/>
          <w:b/>
          <w:bCs/>
          <w:kern w:val="0"/>
          <w:sz w:val="32"/>
          <w:szCs w:val="32"/>
          <w:highlight w:val="none"/>
          <w:lang w:val="en-US" w:eastAsia="zh-CN"/>
        </w:rPr>
        <w:t>.卫生健康</w:t>
      </w:r>
      <w:r>
        <w:rPr>
          <w:rFonts w:hint="eastAsia" w:ascii="Times New Roman" w:hAnsi="Times New Roman" w:eastAsia="仿宋_GB2312" w:cs="Times New Roman"/>
          <w:b/>
          <w:bCs/>
          <w:kern w:val="0"/>
          <w:sz w:val="32"/>
          <w:szCs w:val="32"/>
          <w:highlight w:val="none"/>
          <w:lang w:val="en-US" w:eastAsia="zh-CN"/>
        </w:rPr>
        <w:t>支出</w:t>
      </w:r>
      <w:r>
        <w:rPr>
          <w:rFonts w:hint="default" w:ascii="Times New Roman" w:hAnsi="Times New Roman" w:eastAsia="仿宋_GB2312" w:cs="Times New Roman"/>
          <w:b/>
          <w:bCs/>
          <w:kern w:val="0"/>
          <w:sz w:val="32"/>
          <w:szCs w:val="32"/>
          <w:highlight w:val="none"/>
          <w:lang w:eastAsia="zh-CN"/>
        </w:rPr>
        <w:t>（类）</w:t>
      </w:r>
      <w:r>
        <w:rPr>
          <w:rFonts w:hint="default" w:ascii="Times New Roman" w:hAnsi="Times New Roman" w:eastAsia="仿宋_GB2312" w:cs="Times New Roman"/>
          <w:b/>
          <w:bCs/>
          <w:kern w:val="0"/>
          <w:sz w:val="32"/>
          <w:szCs w:val="32"/>
          <w:highlight w:val="none"/>
          <w:lang w:val="en-US" w:eastAsia="zh-CN"/>
        </w:rPr>
        <w:t>行政事业单位医疗（款）公务员医疗补助</w:t>
      </w:r>
      <w:r>
        <w:rPr>
          <w:rFonts w:hint="default" w:ascii="Times New Roman" w:hAnsi="Times New Roman" w:eastAsia="仿宋_GB2312" w:cs="Times New Roman"/>
          <w:b/>
          <w:bCs/>
          <w:kern w:val="0"/>
          <w:sz w:val="32"/>
          <w:szCs w:val="32"/>
          <w:highlight w:val="none"/>
          <w:lang w:eastAsia="zh-CN"/>
        </w:rPr>
        <w:t>（项）。</w:t>
      </w:r>
      <w:r>
        <w:rPr>
          <w:rFonts w:hint="default" w:ascii="Times New Roman" w:hAnsi="Times New Roman" w:eastAsia="仿宋_GB2312" w:cs="Times New Roman"/>
          <w:kern w:val="0"/>
          <w:sz w:val="32"/>
          <w:szCs w:val="32"/>
          <w:highlight w:val="none"/>
        </w:rPr>
        <w:t>年初预算为</w:t>
      </w:r>
      <w:r>
        <w:rPr>
          <w:rFonts w:hint="eastAsia" w:ascii="Times New Roman" w:hAnsi="Times New Roman" w:eastAsia="仿宋_GB2312" w:cs="Times New Roman"/>
          <w:kern w:val="0"/>
          <w:sz w:val="32"/>
          <w:szCs w:val="32"/>
          <w:highlight w:val="none"/>
          <w:lang w:val="en-US" w:eastAsia="zh-CN"/>
        </w:rPr>
        <w:t>18</w:t>
      </w: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238</w:t>
      </w:r>
      <w:r>
        <w:rPr>
          <w:rFonts w:hint="default" w:ascii="Times New Roman" w:hAnsi="Times New Roman" w:eastAsia="仿宋_GB2312" w:cs="Times New Roman"/>
          <w:kern w:val="0"/>
          <w:sz w:val="32"/>
          <w:szCs w:val="32"/>
          <w:highlight w:val="none"/>
        </w:rPr>
        <w:t>.00</w:t>
      </w:r>
      <w:r>
        <w:rPr>
          <w:rFonts w:hint="default" w:ascii="Times New Roman" w:hAnsi="Times New Roman" w:eastAsia="仿宋_GB2312" w:cs="Times New Roman"/>
          <w:kern w:val="0"/>
          <w:sz w:val="32"/>
          <w:szCs w:val="32"/>
          <w:u w:val="none"/>
        </w:rPr>
        <w:t>元，支出决算为</w:t>
      </w:r>
      <w:r>
        <w:rPr>
          <w:rFonts w:hint="eastAsia" w:ascii="Times New Roman" w:hAnsi="Times New Roman" w:eastAsia="仿宋_GB2312" w:cs="Times New Roman"/>
          <w:kern w:val="0"/>
          <w:sz w:val="32"/>
          <w:szCs w:val="32"/>
          <w:u w:val="none"/>
          <w:lang w:val="en-US" w:eastAsia="zh-CN"/>
        </w:rPr>
        <w:t>10,067.90</w:t>
      </w:r>
      <w:r>
        <w:rPr>
          <w:rFonts w:hint="default" w:ascii="Times New Roman" w:hAnsi="Times New Roman" w:eastAsia="仿宋_GB2312" w:cs="Times New Roman"/>
          <w:kern w:val="0"/>
          <w:sz w:val="32"/>
          <w:szCs w:val="32"/>
          <w:u w:val="none"/>
        </w:rPr>
        <w:t>元，完成年初预算的</w:t>
      </w:r>
      <w:r>
        <w:rPr>
          <w:rFonts w:hint="eastAsia" w:ascii="Times New Roman" w:hAnsi="Times New Roman" w:eastAsia="仿宋_GB2312" w:cs="Times New Roman"/>
          <w:kern w:val="0"/>
          <w:sz w:val="32"/>
          <w:szCs w:val="32"/>
          <w:u w:val="none"/>
          <w:lang w:val="en-US" w:eastAsia="zh-CN"/>
        </w:rPr>
        <w:t>55.20</w:t>
      </w: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b w:val="0"/>
          <w:bCs w:val="0"/>
          <w:kern w:val="0"/>
          <w:sz w:val="32"/>
          <w:szCs w:val="32"/>
          <w:lang w:val="en-US" w:eastAsia="zh-CN" w:bidi="ar-SA"/>
        </w:rPr>
        <w:t>决算数</w:t>
      </w:r>
      <w:r>
        <w:rPr>
          <w:rFonts w:hint="eastAsia" w:ascii="Times New Roman" w:hAnsi="Times New Roman" w:eastAsia="仿宋_GB2312" w:cs="Times New Roman"/>
          <w:b w:val="0"/>
          <w:bCs w:val="0"/>
          <w:kern w:val="0"/>
          <w:sz w:val="32"/>
          <w:szCs w:val="32"/>
          <w:lang w:val="en-US" w:eastAsia="zh-CN" w:bidi="ar-SA"/>
        </w:rPr>
        <w:t>小于</w:t>
      </w:r>
      <w:r>
        <w:rPr>
          <w:rFonts w:hint="default" w:ascii="Times New Roman" w:hAnsi="Times New Roman" w:eastAsia="仿宋_GB2312" w:cs="Times New Roman"/>
          <w:b w:val="0"/>
          <w:bCs w:val="0"/>
          <w:kern w:val="0"/>
          <w:sz w:val="32"/>
          <w:szCs w:val="32"/>
          <w:lang w:val="en-US" w:eastAsia="zh-CN" w:bidi="ar-SA"/>
        </w:rPr>
        <w:t>预算数</w:t>
      </w:r>
      <w:r>
        <w:rPr>
          <w:rFonts w:hint="eastAsia" w:ascii="Times New Roman" w:hAnsi="Times New Roman" w:eastAsia="仿宋_GB2312" w:cs="Times New Roman"/>
          <w:b w:val="0"/>
          <w:bCs w:val="0"/>
          <w:kern w:val="0"/>
          <w:sz w:val="32"/>
          <w:szCs w:val="32"/>
          <w:lang w:val="en-US" w:eastAsia="zh-CN" w:bidi="ar-SA"/>
        </w:rPr>
        <w:t>的主要原因是公务员医疗补助缴费费率下调2%</w:t>
      </w:r>
      <w:r>
        <w:rPr>
          <w:rFonts w:hint="eastAsia" w:ascii="Times New Roman" w:hAnsi="Times New Roman" w:eastAsia="仿宋_GB2312" w:cs="Times New Roman"/>
          <w:sz w:val="32"/>
          <w:szCs w:val="32"/>
          <w:lang w:val="en-US" w:eastAsia="zh-CN"/>
        </w:rPr>
        <w:t>。</w:t>
      </w:r>
    </w:p>
    <w:p>
      <w:pPr>
        <w:keepNext w:val="0"/>
        <w:keepLines w:val="0"/>
        <w:pageBreakBefore w:val="0"/>
        <w:numPr>
          <w:ilvl w:val="0"/>
          <w:numId w:val="0"/>
        </w:numPr>
        <w:kinsoku/>
        <w:wordWrap/>
        <w:topLinePunct w:val="0"/>
        <w:bidi w:val="0"/>
        <w:snapToGrid/>
        <w:spacing w:line="560" w:lineRule="exact"/>
        <w:ind w:left="0" w:leftChars="0" w:right="0" w:rightChars="0" w:firstLine="643"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kern w:val="0"/>
          <w:sz w:val="32"/>
          <w:szCs w:val="32"/>
          <w:lang w:val="en-US" w:eastAsia="zh-CN"/>
        </w:rPr>
        <w:t>9</w:t>
      </w:r>
      <w:r>
        <w:rPr>
          <w:rFonts w:hint="default" w:ascii="Times New Roman" w:hAnsi="Times New Roman" w:eastAsia="仿宋_GB2312" w:cs="Times New Roman"/>
          <w:b/>
          <w:bCs/>
          <w:kern w:val="0"/>
          <w:sz w:val="32"/>
          <w:szCs w:val="32"/>
          <w:lang w:val="en-US" w:eastAsia="zh-CN"/>
        </w:rPr>
        <w:t>.住房保障</w:t>
      </w:r>
      <w:r>
        <w:rPr>
          <w:rFonts w:hint="default" w:ascii="Times New Roman" w:hAnsi="Times New Roman" w:eastAsia="仿宋_GB2312" w:cs="Times New Roman"/>
          <w:b/>
          <w:bCs/>
          <w:kern w:val="0"/>
          <w:sz w:val="32"/>
          <w:szCs w:val="32"/>
          <w:lang w:eastAsia="zh-CN"/>
        </w:rPr>
        <w:t>（类）</w:t>
      </w:r>
      <w:r>
        <w:rPr>
          <w:rFonts w:hint="default" w:ascii="Times New Roman" w:hAnsi="Times New Roman" w:eastAsia="仿宋_GB2312" w:cs="Times New Roman"/>
          <w:b/>
          <w:bCs/>
          <w:kern w:val="0"/>
          <w:sz w:val="32"/>
          <w:szCs w:val="32"/>
          <w:lang w:val="en-US" w:eastAsia="zh-CN"/>
        </w:rPr>
        <w:t>住房改革（款）住房公积金</w:t>
      </w:r>
      <w:r>
        <w:rPr>
          <w:rFonts w:hint="default" w:ascii="Times New Roman" w:hAnsi="Times New Roman" w:eastAsia="仿宋_GB2312" w:cs="Times New Roman"/>
          <w:b/>
          <w:bCs/>
          <w:kern w:val="0"/>
          <w:sz w:val="32"/>
          <w:szCs w:val="32"/>
          <w:lang w:eastAsia="zh-CN"/>
        </w:rPr>
        <w:t>（项）。</w:t>
      </w:r>
      <w:r>
        <w:rPr>
          <w:rFonts w:hint="default" w:ascii="Times New Roman" w:hAnsi="Times New Roman" w:eastAsia="仿宋_GB2312" w:cs="Times New Roman"/>
          <w:kern w:val="0"/>
          <w:sz w:val="32"/>
          <w:szCs w:val="32"/>
        </w:rPr>
        <w:t>年初预算为</w:t>
      </w:r>
      <w:r>
        <w:rPr>
          <w:rFonts w:hint="eastAsia" w:ascii="Times New Roman" w:hAnsi="Times New Roman" w:eastAsia="仿宋_GB2312" w:cs="Times New Roman"/>
          <w:kern w:val="0"/>
          <w:sz w:val="32"/>
          <w:szCs w:val="32"/>
          <w:lang w:val="en-US" w:eastAsia="zh-CN"/>
        </w:rPr>
        <w:t>9</w:t>
      </w:r>
      <w:r>
        <w:rPr>
          <w:rFonts w:hint="eastAsia" w:ascii="Times New Roman" w:hAnsi="Times New Roman" w:eastAsia="仿宋_GB2312" w:cs="Times New Roman"/>
          <w:kern w:val="0"/>
          <w:sz w:val="32"/>
          <w:szCs w:val="32"/>
          <w:u w:val="none"/>
          <w:lang w:val="en-US" w:eastAsia="zh-CN"/>
        </w:rPr>
        <w:t>6</w:t>
      </w:r>
      <w:r>
        <w:rPr>
          <w:rFonts w:hint="default" w:ascii="Times New Roman" w:hAnsi="Times New Roman" w:eastAsia="仿宋_GB2312" w:cs="Times New Roman"/>
          <w:kern w:val="0"/>
          <w:sz w:val="32"/>
          <w:szCs w:val="32"/>
          <w:u w:val="none"/>
          <w:lang w:val="en-US" w:eastAsia="zh-CN"/>
        </w:rPr>
        <w:t>,</w:t>
      </w:r>
      <w:r>
        <w:rPr>
          <w:rFonts w:hint="eastAsia" w:ascii="Times New Roman" w:hAnsi="Times New Roman" w:eastAsia="仿宋_GB2312" w:cs="Times New Roman"/>
          <w:kern w:val="0"/>
          <w:sz w:val="32"/>
          <w:szCs w:val="32"/>
          <w:u w:val="none"/>
          <w:lang w:val="en-US" w:eastAsia="zh-CN"/>
        </w:rPr>
        <w:t>821.00</w:t>
      </w:r>
      <w:r>
        <w:rPr>
          <w:rFonts w:hint="default" w:ascii="Times New Roman" w:hAnsi="Times New Roman" w:eastAsia="仿宋_GB2312" w:cs="Times New Roman"/>
          <w:kern w:val="0"/>
          <w:sz w:val="32"/>
          <w:szCs w:val="32"/>
          <w:u w:val="none"/>
          <w:lang w:val="en-US" w:eastAsia="zh-CN"/>
        </w:rPr>
        <w:t>元</w:t>
      </w:r>
      <w:r>
        <w:rPr>
          <w:rFonts w:hint="default" w:ascii="Times New Roman" w:hAnsi="Times New Roman" w:eastAsia="仿宋_GB2312" w:cs="Times New Roman"/>
          <w:kern w:val="0"/>
          <w:sz w:val="32"/>
          <w:szCs w:val="32"/>
        </w:rPr>
        <w:t>，支出决算为</w:t>
      </w:r>
      <w:r>
        <w:rPr>
          <w:rFonts w:hint="eastAsia" w:ascii="Times New Roman" w:hAnsi="Times New Roman" w:eastAsia="仿宋_GB2312" w:cs="Times New Roman"/>
          <w:kern w:val="0"/>
          <w:sz w:val="32"/>
          <w:szCs w:val="32"/>
          <w:u w:val="none"/>
          <w:lang w:val="en-US" w:eastAsia="zh-CN"/>
        </w:rPr>
        <w:t>89,177.00</w:t>
      </w:r>
      <w:r>
        <w:rPr>
          <w:rFonts w:hint="default" w:ascii="Times New Roman" w:hAnsi="Times New Roman" w:eastAsia="仿宋_GB2312" w:cs="Times New Roman"/>
          <w:kern w:val="0"/>
          <w:sz w:val="32"/>
          <w:szCs w:val="32"/>
        </w:rPr>
        <w:t>元，完成年初预算的</w:t>
      </w:r>
      <w:r>
        <w:rPr>
          <w:rFonts w:hint="eastAsia" w:ascii="Times New Roman" w:hAnsi="Times New Roman" w:eastAsia="仿宋_GB2312" w:cs="Times New Roman"/>
          <w:kern w:val="0"/>
          <w:sz w:val="32"/>
          <w:szCs w:val="32"/>
          <w:lang w:val="en-US" w:eastAsia="zh-CN"/>
        </w:rPr>
        <w:t>92.11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决算数</w:t>
      </w:r>
      <w:r>
        <w:rPr>
          <w:rFonts w:hint="eastAsia" w:ascii="Times New Roman" w:hAnsi="Times New Roman" w:eastAsia="仿宋_GB2312" w:cs="Times New Roman"/>
          <w:kern w:val="0"/>
          <w:sz w:val="32"/>
          <w:szCs w:val="32"/>
          <w:lang w:val="en-US" w:eastAsia="zh-CN"/>
        </w:rPr>
        <w:t>小</w:t>
      </w:r>
      <w:r>
        <w:rPr>
          <w:rFonts w:hint="default" w:ascii="Times New Roman" w:hAnsi="Times New Roman" w:eastAsia="仿宋_GB2312" w:cs="Times New Roman"/>
          <w:kern w:val="0"/>
          <w:sz w:val="32"/>
          <w:szCs w:val="32"/>
        </w:rPr>
        <w:t>于预算数的主要原因</w:t>
      </w:r>
      <w:r>
        <w:rPr>
          <w:rFonts w:hint="eastAsia" w:ascii="Times New Roman" w:hAnsi="Times New Roman" w:eastAsia="仿宋_GB2312" w:cs="Times New Roman"/>
          <w:kern w:val="0"/>
          <w:sz w:val="32"/>
          <w:szCs w:val="32"/>
          <w:lang w:eastAsia="zh-CN"/>
        </w:rPr>
        <w:t>是</w:t>
      </w:r>
      <w:r>
        <w:rPr>
          <w:rFonts w:hint="eastAsia" w:ascii="Times New Roman" w:hAnsi="Times New Roman" w:eastAsia="仿宋_GB2312" w:cs="Times New Roman"/>
          <w:kern w:val="0"/>
          <w:sz w:val="32"/>
          <w:szCs w:val="32"/>
          <w:lang w:val="en-US" w:eastAsia="zh-CN"/>
        </w:rPr>
        <w:t>年初编制预算时按人员相关支出增长因素予以测算安排，本年度人员无变动，实际支出未实现预期增长，导致决算数低于预算数。</w:t>
      </w:r>
    </w:p>
    <w:p>
      <w:pPr>
        <w:keepNext w:val="0"/>
        <w:keepLines w:val="0"/>
        <w:pageBreakBefore w:val="0"/>
        <w:numPr>
          <w:ilvl w:val="0"/>
          <w:numId w:val="0"/>
        </w:numPr>
        <w:kinsoku/>
        <w:wordWrap/>
        <w:topLinePunct w:val="0"/>
        <w:bidi w:val="0"/>
        <w:snapToGrid/>
        <w:spacing w:line="560" w:lineRule="exact"/>
        <w:ind w:left="0" w:leftChars="0" w:right="0" w:rightChars="0" w:firstLine="643" w:firstLineChars="20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color w:val="auto"/>
          <w:kern w:val="0"/>
          <w:sz w:val="32"/>
          <w:szCs w:val="32"/>
          <w:lang w:val="en-US" w:eastAsia="zh-CN"/>
        </w:rPr>
        <w:t>10</w:t>
      </w:r>
      <w:r>
        <w:rPr>
          <w:rFonts w:hint="default" w:ascii="Times New Roman" w:hAnsi="Times New Roman" w:eastAsia="仿宋_GB2312" w:cs="Times New Roman"/>
          <w:b/>
          <w:bCs/>
          <w:color w:val="auto"/>
          <w:kern w:val="0"/>
          <w:sz w:val="32"/>
          <w:szCs w:val="32"/>
          <w:lang w:val="en-US" w:eastAsia="zh-CN"/>
        </w:rPr>
        <w:t>.住房保障</w:t>
      </w:r>
      <w:r>
        <w:rPr>
          <w:rFonts w:hint="default" w:ascii="Times New Roman" w:hAnsi="Times New Roman" w:eastAsia="仿宋_GB2312" w:cs="Times New Roman"/>
          <w:b/>
          <w:bCs/>
          <w:color w:val="auto"/>
          <w:kern w:val="0"/>
          <w:sz w:val="32"/>
          <w:szCs w:val="32"/>
          <w:lang w:eastAsia="zh-CN"/>
        </w:rPr>
        <w:t>（类）</w:t>
      </w:r>
      <w:r>
        <w:rPr>
          <w:rFonts w:hint="default" w:ascii="Times New Roman" w:hAnsi="Times New Roman" w:eastAsia="仿宋_GB2312" w:cs="Times New Roman"/>
          <w:b/>
          <w:bCs/>
          <w:color w:val="auto"/>
          <w:kern w:val="0"/>
          <w:sz w:val="32"/>
          <w:szCs w:val="32"/>
          <w:lang w:val="en-US" w:eastAsia="zh-CN"/>
        </w:rPr>
        <w:t>住房改革（款）</w:t>
      </w:r>
      <w:r>
        <w:rPr>
          <w:rFonts w:hint="eastAsia" w:ascii="Times New Roman" w:hAnsi="Times New Roman" w:eastAsia="仿宋_GB2312" w:cs="Times New Roman"/>
          <w:b/>
          <w:bCs/>
          <w:color w:val="auto"/>
          <w:kern w:val="0"/>
          <w:sz w:val="32"/>
          <w:szCs w:val="32"/>
          <w:lang w:val="en-US" w:eastAsia="zh-CN"/>
        </w:rPr>
        <w:t>购房补贴</w:t>
      </w:r>
      <w:r>
        <w:rPr>
          <w:rFonts w:hint="default" w:ascii="Times New Roman" w:hAnsi="Times New Roman" w:eastAsia="仿宋_GB2312" w:cs="Times New Roman"/>
          <w:b/>
          <w:bCs/>
          <w:color w:val="auto"/>
          <w:kern w:val="0"/>
          <w:sz w:val="32"/>
          <w:szCs w:val="32"/>
          <w:lang w:eastAsia="zh-CN"/>
        </w:rPr>
        <w:t>（项）。</w:t>
      </w:r>
      <w:r>
        <w:rPr>
          <w:rFonts w:hint="default" w:ascii="Times New Roman" w:hAnsi="Times New Roman" w:eastAsia="仿宋_GB2312" w:cs="Times New Roman"/>
          <w:color w:val="auto"/>
          <w:kern w:val="0"/>
          <w:sz w:val="32"/>
          <w:szCs w:val="32"/>
        </w:rPr>
        <w:t>年初预算为</w:t>
      </w:r>
      <w:r>
        <w:rPr>
          <w:rFonts w:hint="eastAsia" w:ascii="Times New Roman" w:hAnsi="Times New Roman" w:eastAsia="仿宋_GB2312" w:cs="Times New Roman"/>
          <w:color w:val="auto"/>
          <w:kern w:val="0"/>
          <w:sz w:val="32"/>
          <w:szCs w:val="32"/>
          <w:highlight w:val="none"/>
          <w:lang w:val="en-US" w:eastAsia="zh-CN"/>
        </w:rPr>
        <w:t>43</w:t>
      </w:r>
      <w:r>
        <w:rPr>
          <w:rFonts w:hint="default" w:ascii="Times New Roman" w:hAnsi="Times New Roman" w:eastAsia="仿宋_GB2312" w:cs="Times New Roman"/>
          <w:kern w:val="0"/>
          <w:sz w:val="32"/>
          <w:szCs w:val="32"/>
          <w:highlight w:val="none"/>
        </w:rPr>
        <w:t>,</w:t>
      </w:r>
      <w:r>
        <w:rPr>
          <w:rFonts w:hint="eastAsia" w:ascii="Times New Roman" w:hAnsi="Times New Roman" w:eastAsia="仿宋_GB2312" w:cs="Times New Roman"/>
          <w:color w:val="auto"/>
          <w:kern w:val="0"/>
          <w:sz w:val="32"/>
          <w:szCs w:val="32"/>
          <w:highlight w:val="none"/>
          <w:lang w:val="en-US" w:eastAsia="zh-CN"/>
        </w:rPr>
        <w:t>5</w:t>
      </w:r>
      <w:r>
        <w:rPr>
          <w:rFonts w:hint="eastAsia" w:ascii="Times New Roman" w:hAnsi="Times New Roman" w:eastAsia="仿宋_GB2312" w:cs="Times New Roman"/>
          <w:color w:val="auto"/>
          <w:kern w:val="0"/>
          <w:sz w:val="32"/>
          <w:szCs w:val="32"/>
          <w:lang w:val="en-US" w:eastAsia="zh-CN"/>
        </w:rPr>
        <w:t>05.00</w:t>
      </w:r>
      <w:r>
        <w:rPr>
          <w:rFonts w:hint="default" w:ascii="Times New Roman" w:hAnsi="Times New Roman" w:eastAsia="仿宋_GB2312" w:cs="Times New Roman"/>
          <w:color w:val="auto"/>
          <w:kern w:val="0"/>
          <w:sz w:val="32"/>
          <w:szCs w:val="32"/>
        </w:rPr>
        <w:t>元，支出决算为</w:t>
      </w:r>
      <w:r>
        <w:rPr>
          <w:rFonts w:hint="eastAsia" w:ascii="Times New Roman" w:hAnsi="Times New Roman" w:eastAsia="仿宋_GB2312" w:cs="Times New Roman"/>
          <w:color w:val="auto"/>
          <w:kern w:val="0"/>
          <w:sz w:val="32"/>
          <w:szCs w:val="32"/>
          <w:lang w:eastAsia="zh-CN"/>
        </w:rPr>
        <w:t>34,260.00</w:t>
      </w:r>
      <w:r>
        <w:rPr>
          <w:rFonts w:hint="default" w:ascii="Times New Roman" w:hAnsi="Times New Roman" w:eastAsia="仿宋_GB2312" w:cs="Times New Roman"/>
          <w:color w:val="auto"/>
          <w:kern w:val="0"/>
          <w:sz w:val="32"/>
          <w:szCs w:val="32"/>
        </w:rPr>
        <w:t>元，完成年初预算的</w:t>
      </w:r>
      <w:r>
        <w:rPr>
          <w:rFonts w:hint="eastAsia" w:ascii="Times New Roman" w:hAnsi="Times New Roman" w:eastAsia="仿宋_GB2312" w:cs="Times New Roman"/>
          <w:color w:val="auto"/>
          <w:kern w:val="0"/>
          <w:sz w:val="32"/>
          <w:szCs w:val="32"/>
          <w:lang w:val="en-US" w:eastAsia="zh-CN"/>
        </w:rPr>
        <w:t>78.75</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highlight w:val="none"/>
        </w:rPr>
        <w:t>决算数</w:t>
      </w:r>
      <w:r>
        <w:rPr>
          <w:rFonts w:hint="eastAsia" w:ascii="Times New Roman" w:hAnsi="Times New Roman" w:eastAsia="仿宋_GB2312" w:cs="Times New Roman"/>
          <w:color w:val="auto"/>
          <w:kern w:val="0"/>
          <w:sz w:val="32"/>
          <w:szCs w:val="32"/>
          <w:highlight w:val="none"/>
          <w:lang w:val="en-US" w:eastAsia="zh-CN"/>
        </w:rPr>
        <w:t>小</w:t>
      </w:r>
      <w:r>
        <w:rPr>
          <w:rFonts w:hint="default" w:ascii="Times New Roman" w:hAnsi="Times New Roman" w:eastAsia="仿宋_GB2312" w:cs="Times New Roman"/>
          <w:color w:val="auto"/>
          <w:kern w:val="0"/>
          <w:sz w:val="32"/>
          <w:szCs w:val="32"/>
          <w:highlight w:val="none"/>
        </w:rPr>
        <w:t>于预算数的主要原因</w:t>
      </w:r>
      <w:r>
        <w:rPr>
          <w:rFonts w:hint="eastAsia" w:ascii="Times New Roman" w:hAnsi="Times New Roman" w:eastAsia="仿宋_GB2312" w:cs="Times New Roman"/>
          <w:color w:val="auto"/>
          <w:kern w:val="0"/>
          <w:sz w:val="32"/>
          <w:szCs w:val="32"/>
          <w:highlight w:val="none"/>
          <w:lang w:eastAsia="zh-CN"/>
        </w:rPr>
        <w:t>是</w:t>
      </w:r>
      <w:r>
        <w:rPr>
          <w:rFonts w:hint="eastAsia" w:ascii="Times New Roman" w:hAnsi="Times New Roman" w:eastAsia="仿宋_GB2312" w:cs="Times New Roman"/>
          <w:color w:val="auto"/>
          <w:kern w:val="0"/>
          <w:sz w:val="32"/>
          <w:szCs w:val="32"/>
          <w:highlight w:val="none"/>
          <w:lang w:val="en-US" w:eastAsia="zh-CN"/>
        </w:rPr>
        <w:t>本年住房补贴标准下调，</w:t>
      </w:r>
      <w:r>
        <w:rPr>
          <w:rFonts w:hint="eastAsia" w:ascii="Times New Roman" w:hAnsi="Times New Roman" w:eastAsia="仿宋_GB2312" w:cs="Times New Roman"/>
          <w:kern w:val="0"/>
          <w:sz w:val="32"/>
          <w:szCs w:val="32"/>
          <w:lang w:val="en-US" w:eastAsia="zh-CN"/>
        </w:rPr>
        <w:t>导致决算数低于预算数。</w:t>
      </w:r>
    </w:p>
    <w:p>
      <w:pPr>
        <w:pStyle w:val="2"/>
        <w:keepNext w:val="0"/>
        <w:keepLines w:val="0"/>
        <w:pageBreakBefore w:val="0"/>
        <w:widowControl w:val="0"/>
        <w:kinsoku/>
        <w:wordWrap/>
        <w:topLinePunct w:val="0"/>
        <w:bidi w:val="0"/>
        <w:adjustRightInd w:val="0"/>
        <w:spacing w:after="0" w:line="560" w:lineRule="exact"/>
        <w:ind w:left="0" w:leftChars="0" w:right="0" w:rightChars="0" w:firstLine="643" w:firstLineChars="200"/>
        <w:jc w:val="both"/>
        <w:textAlignment w:val="auto"/>
        <w:outlineLvl w:val="9"/>
        <w:rPr>
          <w:rFonts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六</w:t>
      </w:r>
      <w:r>
        <w:rPr>
          <w:rFonts w:ascii="Times New Roman" w:hAnsi="Times New Roman" w:eastAsia="楷体_GB2312" w:cs="Times New Roman"/>
          <w:b/>
          <w:bCs/>
          <w:kern w:val="0"/>
          <w:sz w:val="32"/>
          <w:szCs w:val="32"/>
        </w:rPr>
        <w:t>、一般公共预算财政拨款基本支出决算情况说明（按经济分类填列到款级科目）</w:t>
      </w:r>
    </w:p>
    <w:p>
      <w:pPr>
        <w:pStyle w:val="2"/>
        <w:keepNext w:val="0"/>
        <w:keepLines w:val="0"/>
        <w:pageBreakBefore w:val="0"/>
        <w:widowControl w:val="0"/>
        <w:kinsoku/>
        <w:wordWrap/>
        <w:overflowPunct/>
        <w:topLinePunct w:val="0"/>
        <w:autoSpaceDE/>
        <w:autoSpaceDN/>
        <w:bidi w:val="0"/>
        <w:adjustRightInd w:val="0"/>
        <w:spacing w:after="0" w:line="560" w:lineRule="exact"/>
        <w:ind w:left="0" w:leftChars="0" w:right="0" w:rightChars="0" w:firstLine="640" w:firstLineChars="200"/>
        <w:jc w:val="both"/>
        <w:textAlignment w:val="auto"/>
        <w:outlineLvl w:val="9"/>
        <w:rPr>
          <w:rFonts w:ascii="Times New Roman" w:hAnsi="Times New Roman" w:eastAsia="仿宋_GB2312" w:cs="Times New Roman"/>
          <w:color w:val="auto"/>
          <w:sz w:val="32"/>
          <w:szCs w:val="32"/>
        </w:rPr>
      </w:pPr>
      <w:r>
        <w:rPr>
          <w:rFonts w:hint="eastAsia" w:hAnsi="Times New Roman" w:cs="Times New Roman"/>
          <w:color w:val="auto"/>
          <w:sz w:val="32"/>
          <w:szCs w:val="32"/>
          <w:lang w:eastAsia="zh-CN"/>
        </w:rPr>
        <w:t>2025年</w:t>
      </w:r>
      <w:r>
        <w:rPr>
          <w:rFonts w:hint="default" w:ascii="Times New Roman" w:hAnsi="Times New Roman" w:eastAsia="仿宋_GB2312" w:cs="Times New Roman"/>
          <w:color w:val="auto"/>
          <w:sz w:val="32"/>
          <w:szCs w:val="32"/>
        </w:rPr>
        <w:t>度一般公共预算财政拨款基本支出</w:t>
      </w:r>
      <w:r>
        <w:rPr>
          <w:rFonts w:hint="eastAsia" w:ascii="Times New Roman" w:hAnsi="Times New Roman" w:eastAsia="仿宋_GB2312" w:cs="Times New Roman"/>
          <w:color w:val="auto"/>
          <w:sz w:val="32"/>
          <w:szCs w:val="32"/>
          <w:lang w:val="en-US" w:eastAsia="zh-CN"/>
        </w:rPr>
        <w:t>1,</w:t>
      </w:r>
      <w:r>
        <w:rPr>
          <w:rFonts w:hint="eastAsia" w:hAnsi="Times New Roman" w:cs="Times New Roman"/>
          <w:color w:val="auto"/>
          <w:sz w:val="32"/>
          <w:szCs w:val="32"/>
          <w:lang w:val="en-US" w:eastAsia="zh-CN"/>
        </w:rPr>
        <w:t>233</w:t>
      </w:r>
      <w:r>
        <w:rPr>
          <w:rFonts w:hint="eastAsia" w:ascii="Times New Roman" w:hAnsi="Times New Roman" w:eastAsia="仿宋_GB2312" w:cs="Times New Roman"/>
          <w:color w:val="auto"/>
          <w:sz w:val="32"/>
          <w:szCs w:val="32"/>
          <w:lang w:val="en-US" w:eastAsia="zh-CN"/>
        </w:rPr>
        <w:t>,</w:t>
      </w:r>
      <w:r>
        <w:rPr>
          <w:rFonts w:hint="eastAsia" w:hAnsi="Times New Roman" w:cs="Times New Roman"/>
          <w:color w:val="auto"/>
          <w:sz w:val="32"/>
          <w:szCs w:val="32"/>
          <w:lang w:val="en-US" w:eastAsia="zh-CN"/>
        </w:rPr>
        <w:t>610.05</w:t>
      </w:r>
      <w:r>
        <w:rPr>
          <w:rFonts w:hint="default" w:ascii="Times New Roman" w:hAnsi="Times New Roman" w:eastAsia="仿宋_GB2312" w:cs="Times New Roman"/>
          <w:color w:val="auto"/>
          <w:sz w:val="32"/>
          <w:szCs w:val="32"/>
        </w:rPr>
        <w:t>元，</w:t>
      </w:r>
      <w:r>
        <w:rPr>
          <w:rFonts w:hint="default" w:ascii="Times New Roman" w:hAnsi="Times New Roman" w:eastAsia="仿宋_GB2312" w:cs="Times New Roman"/>
          <w:sz w:val="32"/>
          <w:szCs w:val="32"/>
        </w:rPr>
        <w:t>其中：人员经费</w:t>
      </w:r>
      <w:r>
        <w:rPr>
          <w:rFonts w:hint="eastAsia" w:ascii="Times New Roman" w:hAnsi="Times New Roman" w:eastAsia="仿宋_GB2312" w:cs="Times New Roman"/>
          <w:sz w:val="32"/>
          <w:szCs w:val="32"/>
          <w:lang w:val="en-US" w:eastAsia="zh-CN"/>
        </w:rPr>
        <w:t>1,</w:t>
      </w:r>
      <w:r>
        <w:rPr>
          <w:rFonts w:hint="eastAsia" w:hAnsi="Times New Roman" w:cs="Times New Roman"/>
          <w:sz w:val="32"/>
          <w:szCs w:val="32"/>
          <w:lang w:val="en-US" w:eastAsia="zh-CN"/>
        </w:rPr>
        <w:t>141</w:t>
      </w:r>
      <w:r>
        <w:rPr>
          <w:rFonts w:hint="eastAsia" w:ascii="Times New Roman" w:hAnsi="Times New Roman" w:eastAsia="仿宋_GB2312" w:cs="Times New Roman"/>
          <w:color w:val="auto"/>
          <w:sz w:val="32"/>
          <w:szCs w:val="32"/>
          <w:lang w:val="en-US" w:eastAsia="zh-CN"/>
        </w:rPr>
        <w:t>,</w:t>
      </w:r>
      <w:r>
        <w:rPr>
          <w:rFonts w:hint="eastAsia" w:hAnsi="Times New Roman" w:cs="Times New Roman"/>
          <w:sz w:val="32"/>
          <w:szCs w:val="32"/>
          <w:lang w:val="en-US" w:eastAsia="zh-CN"/>
        </w:rPr>
        <w:t>650.05</w:t>
      </w:r>
      <w:r>
        <w:rPr>
          <w:rFonts w:hint="default" w:ascii="Times New Roman" w:hAnsi="Times New Roman" w:eastAsia="仿宋_GB2312" w:cs="Times New Roman"/>
          <w:sz w:val="32"/>
          <w:szCs w:val="32"/>
        </w:rPr>
        <w:t>元，公用经费</w:t>
      </w:r>
      <w:r>
        <w:rPr>
          <w:rFonts w:hint="eastAsia" w:ascii="Times New Roman" w:hAnsi="Times New Roman" w:eastAsia="仿宋_GB2312" w:cs="Times New Roman"/>
          <w:sz w:val="32"/>
          <w:szCs w:val="32"/>
          <w:lang w:val="en-US" w:eastAsia="zh-CN"/>
        </w:rPr>
        <w:t>9</w:t>
      </w:r>
      <w:r>
        <w:rPr>
          <w:rFonts w:hint="eastAsia" w:hAnsi="Times New Roman"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eastAsia" w:hAnsi="Times New Roman" w:cs="Times New Roman"/>
          <w:sz w:val="32"/>
          <w:szCs w:val="32"/>
          <w:lang w:val="en-US" w:eastAsia="zh-CN"/>
        </w:rPr>
        <w:t>960</w:t>
      </w:r>
      <w:r>
        <w:rPr>
          <w:rFonts w:hint="eastAsia" w:ascii="Times New Roman" w:hAnsi="Times New Roman" w:eastAsia="仿宋_GB2312" w:cs="Times New Roman"/>
          <w:sz w:val="32"/>
          <w:szCs w:val="32"/>
          <w:lang w:val="en-US" w:eastAsia="zh-CN"/>
        </w:rPr>
        <w:t>.</w:t>
      </w:r>
      <w:r>
        <w:rPr>
          <w:rFonts w:hint="eastAsia" w:hAnsi="Times New Roman" w:cs="Times New Roman"/>
          <w:sz w:val="32"/>
          <w:szCs w:val="32"/>
          <w:lang w:val="en-US" w:eastAsia="zh-CN"/>
        </w:rPr>
        <w:t>00</w:t>
      </w:r>
      <w:r>
        <w:rPr>
          <w:rFonts w:hint="default" w:ascii="Times New Roman" w:hAnsi="Times New Roman" w:eastAsia="仿宋_GB2312" w:cs="Times New Roman"/>
          <w:sz w:val="32"/>
          <w:szCs w:val="32"/>
        </w:rPr>
        <w:t>元。</w:t>
      </w:r>
      <w:r>
        <w:rPr>
          <w:rFonts w:hint="default" w:ascii="Times New Roman" w:hAnsi="Times New Roman" w:eastAsia="仿宋_GB2312" w:cs="Times New Roman"/>
          <w:color w:val="auto"/>
          <w:sz w:val="32"/>
          <w:szCs w:val="32"/>
        </w:rPr>
        <w:t>支出具体情况如下：</w:t>
      </w:r>
    </w:p>
    <w:p>
      <w:pPr>
        <w:keepNext w:val="0"/>
        <w:keepLines w:val="0"/>
        <w:pageBreakBefore w:val="0"/>
        <w:widowControl w:val="0"/>
        <w:kinsoku/>
        <w:wordWrap/>
        <w:overflowPunct/>
        <w:topLinePunct w:val="0"/>
        <w:autoSpaceDE/>
        <w:autoSpaceDN/>
        <w:bidi w:val="0"/>
        <w:snapToGrid/>
        <w:spacing w:line="560" w:lineRule="exact"/>
        <w:ind w:left="0" w:leftChars="0" w:right="0" w:rightChars="0" w:firstLine="640" w:firstLineChars="200"/>
        <w:jc w:val="both"/>
        <w:textAlignment w:val="auto"/>
        <w:outlineLvl w:val="1"/>
        <w:rPr>
          <w:rFonts w:hint="eastAsia"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rPr>
        <w:t>1.工资福利支出</w:t>
      </w:r>
      <w:r>
        <w:rPr>
          <w:rFonts w:hint="eastAsia" w:ascii="Times New Roman" w:hAnsi="Times New Roman" w:eastAsia="仿宋_GB2312" w:cs="Times New Roman"/>
          <w:color w:val="auto"/>
          <w:sz w:val="32"/>
          <w:szCs w:val="32"/>
        </w:rPr>
        <w:t>1,0</w:t>
      </w:r>
      <w:r>
        <w:rPr>
          <w:rFonts w:hint="eastAsia" w:ascii="Times New Roman" w:hAnsi="Times New Roman" w:eastAsia="仿宋_GB2312" w:cs="Times New Roman"/>
          <w:color w:val="auto"/>
          <w:sz w:val="32"/>
          <w:szCs w:val="32"/>
          <w:lang w:val="en-US" w:eastAsia="zh-CN"/>
        </w:rPr>
        <w:t>98</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808.73</w:t>
      </w:r>
      <w:r>
        <w:rPr>
          <w:rFonts w:ascii="Times New Roman" w:hAnsi="Times New Roman" w:eastAsia="仿宋_GB2312" w:cs="Times New Roman"/>
          <w:color w:val="auto"/>
          <w:sz w:val="32"/>
          <w:szCs w:val="32"/>
        </w:rPr>
        <w:t>元，较</w:t>
      </w:r>
      <w:r>
        <w:rPr>
          <w:rFonts w:hint="eastAsia" w:ascii="Times New Roman" w:hAnsi="Times New Roman" w:eastAsia="仿宋_GB2312" w:cs="Times New Roman"/>
          <w:color w:val="auto"/>
          <w:sz w:val="32"/>
          <w:szCs w:val="32"/>
          <w:lang w:eastAsia="zh-CN"/>
        </w:rPr>
        <w:t>2025年</w:t>
      </w:r>
      <w:r>
        <w:rPr>
          <w:rFonts w:ascii="Times New Roman" w:hAnsi="Times New Roman" w:eastAsia="仿宋_GB2312" w:cs="Times New Roman"/>
          <w:color w:val="auto"/>
          <w:sz w:val="32"/>
          <w:szCs w:val="32"/>
        </w:rPr>
        <w:t>度年初预算数</w:t>
      </w:r>
      <w:r>
        <w:rPr>
          <w:rFonts w:hint="eastAsia" w:ascii="Times New Roman" w:hAnsi="Times New Roman" w:eastAsia="仿宋_GB2312" w:cs="Times New Roman"/>
          <w:color w:val="auto"/>
          <w:sz w:val="32"/>
          <w:szCs w:val="32"/>
          <w:lang w:val="en-US" w:eastAsia="zh-CN"/>
        </w:rPr>
        <w:t>增加32</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lang w:val="en-US" w:eastAsia="zh-CN"/>
        </w:rPr>
        <w:t>158.73</w:t>
      </w:r>
      <w:r>
        <w:rPr>
          <w:rFonts w:ascii="Times New Roman" w:hAnsi="Times New Roman" w:eastAsia="仿宋_GB2312" w:cs="Times New Roman"/>
          <w:color w:val="auto"/>
          <w:sz w:val="32"/>
          <w:szCs w:val="32"/>
        </w:rPr>
        <w:t>元，</w:t>
      </w:r>
      <w:r>
        <w:rPr>
          <w:rFonts w:hint="eastAsia" w:ascii="Times New Roman" w:hAnsi="Times New Roman" w:eastAsia="仿宋_GB2312" w:cs="Times New Roman"/>
          <w:color w:val="auto"/>
          <w:sz w:val="32"/>
          <w:szCs w:val="32"/>
          <w:lang w:val="en-US" w:eastAsia="zh-CN"/>
        </w:rPr>
        <w:t>增长3.01</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highlight w:val="none"/>
        </w:rPr>
        <w:t>主要原因</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一是</w:t>
      </w:r>
      <w:r>
        <w:rPr>
          <w:rFonts w:hint="eastAsia" w:ascii="Times New Roman" w:hAnsi="Times New Roman" w:eastAsia="仿宋_GB2312" w:cs="Times New Roman"/>
          <w:kern w:val="0"/>
          <w:sz w:val="32"/>
          <w:szCs w:val="32"/>
          <w:highlight w:val="none"/>
          <w:lang w:eastAsia="zh-CN"/>
        </w:rPr>
        <w:t>本年</w:t>
      </w:r>
      <w:r>
        <w:rPr>
          <w:rFonts w:hint="eastAsia" w:ascii="Times New Roman" w:hAnsi="Times New Roman" w:eastAsia="仿宋_GB2312" w:cs="Times New Roman"/>
          <w:kern w:val="0"/>
          <w:sz w:val="32"/>
          <w:szCs w:val="32"/>
          <w:highlight w:val="none"/>
          <w:lang w:val="en-US" w:eastAsia="zh-CN"/>
        </w:rPr>
        <w:t>人员工资标准上调，同时补发上年度增资部分，二</w:t>
      </w:r>
      <w:r>
        <w:rPr>
          <w:rFonts w:hint="default" w:ascii="Times New Roman" w:hAnsi="Times New Roman" w:eastAsia="仿宋_GB2312" w:cs="Times New Roman"/>
          <w:color w:val="auto"/>
          <w:sz w:val="32"/>
          <w:szCs w:val="32"/>
          <w:highlight w:val="none"/>
        </w:rPr>
        <w:t>是</w:t>
      </w:r>
      <w:r>
        <w:rPr>
          <w:rFonts w:hint="eastAsia" w:ascii="Times New Roman" w:hAnsi="Times New Roman" w:eastAsia="仿宋_GB2312" w:cs="Times New Roman"/>
          <w:color w:val="auto"/>
          <w:sz w:val="32"/>
          <w:szCs w:val="32"/>
          <w:highlight w:val="none"/>
          <w:lang w:val="en-US" w:eastAsia="zh-CN"/>
        </w:rPr>
        <w:t>干部职工职务职级晋升，工资薪金同时增长；</w:t>
      </w:r>
      <w:r>
        <w:rPr>
          <w:rFonts w:hint="eastAsia" w:ascii="Times New Roman" w:hAnsi="Times New Roman" w:eastAsia="仿宋_GB2312" w:cs="Times New Roman"/>
          <w:color w:val="auto"/>
          <w:sz w:val="32"/>
          <w:szCs w:val="32"/>
        </w:rPr>
        <w:t>较</w:t>
      </w:r>
      <w:r>
        <w:rPr>
          <w:rFonts w:hint="eastAsia" w:ascii="Times New Roman" w:hAnsi="Times New Roman" w:eastAsia="仿宋_GB2312" w:cs="Times New Roman"/>
          <w:color w:val="auto"/>
          <w:sz w:val="32"/>
          <w:szCs w:val="32"/>
          <w:lang w:eastAsia="zh-CN"/>
        </w:rPr>
        <w:t>2024年</w:t>
      </w:r>
      <w:r>
        <w:rPr>
          <w:rFonts w:hint="eastAsia" w:ascii="Times New Roman" w:hAnsi="Times New Roman" w:eastAsia="仿宋_GB2312" w:cs="Times New Roman"/>
          <w:color w:val="auto"/>
          <w:sz w:val="32"/>
          <w:szCs w:val="32"/>
        </w:rPr>
        <w:t>度决算数</w:t>
      </w:r>
      <w:r>
        <w:rPr>
          <w:rFonts w:hint="eastAsia" w:ascii="Times New Roman" w:hAnsi="Times New Roman" w:eastAsia="仿宋_GB2312" w:cs="Times New Roman"/>
          <w:color w:val="auto"/>
          <w:sz w:val="32"/>
          <w:szCs w:val="32"/>
          <w:lang w:val="en-US" w:eastAsia="zh-CN"/>
        </w:rPr>
        <w:t>增加85</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lang w:val="en-US" w:eastAsia="zh-CN"/>
        </w:rPr>
        <w:t>268.07</w:t>
      </w:r>
      <w:r>
        <w:rPr>
          <w:rFonts w:hint="eastAsia" w:ascii="Times New Roman" w:hAnsi="Times New Roman" w:eastAsia="仿宋_GB2312" w:cs="Times New Roman"/>
          <w:color w:val="auto"/>
          <w:sz w:val="32"/>
          <w:szCs w:val="32"/>
        </w:rPr>
        <w:t>元，</w:t>
      </w:r>
      <w:r>
        <w:rPr>
          <w:rFonts w:hint="eastAsia" w:ascii="Times New Roman" w:hAnsi="Times New Roman" w:eastAsia="仿宋_GB2312" w:cs="Times New Roman"/>
          <w:color w:val="auto"/>
          <w:sz w:val="32"/>
          <w:szCs w:val="32"/>
          <w:lang w:val="en-US" w:eastAsia="zh-CN"/>
        </w:rPr>
        <w:t>增长8.41</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主要原因</w:t>
      </w:r>
      <w:r>
        <w:rPr>
          <w:rFonts w:hint="eastAsia" w:ascii="Times New Roman" w:hAnsi="Times New Roman" w:eastAsia="仿宋_GB2312" w:cs="Times New Roman"/>
          <w:color w:val="auto"/>
          <w:sz w:val="32"/>
          <w:szCs w:val="32"/>
          <w:highlight w:val="none"/>
          <w:lang w:val="en-US" w:eastAsia="zh-CN"/>
        </w:rPr>
        <w:t>是</w:t>
      </w:r>
      <w:r>
        <w:rPr>
          <w:rFonts w:hint="eastAsia" w:ascii="Times New Roman" w:hAnsi="Times New Roman" w:eastAsia="仿宋_GB2312" w:cs="Times New Roman"/>
          <w:kern w:val="0"/>
          <w:sz w:val="32"/>
          <w:szCs w:val="32"/>
          <w:highlight w:val="none"/>
          <w:lang w:eastAsia="zh-CN"/>
        </w:rPr>
        <w:t>本年</w:t>
      </w:r>
      <w:r>
        <w:rPr>
          <w:rFonts w:hint="eastAsia" w:ascii="Times New Roman" w:hAnsi="Times New Roman" w:eastAsia="仿宋_GB2312" w:cs="Times New Roman"/>
          <w:kern w:val="0"/>
          <w:sz w:val="32"/>
          <w:szCs w:val="32"/>
          <w:highlight w:val="none"/>
          <w:lang w:val="en-US" w:eastAsia="zh-CN"/>
        </w:rPr>
        <w:t>人员工资标准上调，同时补发上年度增资部分</w:t>
      </w:r>
      <w:r>
        <w:rPr>
          <w:rFonts w:hint="eastAsia" w:ascii="Times New Roman" w:hAnsi="Times New Roman" w:eastAsia="仿宋_GB2312" w:cs="Times New Roman"/>
          <w:color w:val="auto"/>
          <w:sz w:val="32"/>
          <w:szCs w:val="32"/>
          <w:highlight w:val="none"/>
          <w:lang w:val="en-US" w:eastAsia="zh-CN"/>
        </w:rPr>
        <w:t>。</w:t>
      </w:r>
    </w:p>
    <w:p>
      <w:pPr>
        <w:pStyle w:val="13"/>
        <w:keepNext w:val="0"/>
        <w:keepLines w:val="0"/>
        <w:pageBreakBefore w:val="0"/>
        <w:widowControl w:val="0"/>
        <w:kinsoku/>
        <w:wordWrap/>
        <w:overflowPunct w:val="0"/>
        <w:topLinePunct w:val="0"/>
        <w:bidi w:val="0"/>
        <w:adjustRightInd w:val="0"/>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2.商品和服务支出</w:t>
      </w:r>
      <w:r>
        <w:rPr>
          <w:rFonts w:hint="eastAsia" w:ascii="Times New Roman" w:hAnsi="Times New Roman" w:eastAsia="仿宋_GB2312" w:cs="Times New Roman"/>
          <w:sz w:val="32"/>
          <w:szCs w:val="32"/>
          <w:lang w:val="en-US" w:eastAsia="zh-CN"/>
        </w:rPr>
        <w:t>91,960.00</w:t>
      </w:r>
      <w:r>
        <w:rPr>
          <w:rFonts w:ascii="Times New Roman" w:hAnsi="Times New Roman" w:eastAsia="仿宋_GB2312" w:cs="Times New Roman"/>
          <w:sz w:val="32"/>
          <w:szCs w:val="32"/>
        </w:rPr>
        <w:t>元，</w:t>
      </w:r>
      <w:r>
        <w:rPr>
          <w:rFonts w:ascii="Times New Roman" w:hAnsi="Times New Roman" w:eastAsia="仿宋_GB2312" w:cs="Times New Roman"/>
          <w:color w:val="auto"/>
          <w:sz w:val="32"/>
          <w:szCs w:val="32"/>
        </w:rPr>
        <w:t>较</w:t>
      </w:r>
      <w:r>
        <w:rPr>
          <w:rFonts w:hint="eastAsia" w:ascii="Times New Roman" w:hAnsi="Times New Roman" w:eastAsia="仿宋_GB2312" w:cs="Times New Roman"/>
          <w:color w:val="auto"/>
          <w:sz w:val="32"/>
          <w:szCs w:val="32"/>
          <w:lang w:eastAsia="zh-CN"/>
        </w:rPr>
        <w:t>2025年</w:t>
      </w:r>
      <w:r>
        <w:rPr>
          <w:rFonts w:ascii="Times New Roman" w:hAnsi="Times New Roman" w:eastAsia="仿宋_GB2312" w:cs="Times New Roman"/>
          <w:color w:val="auto"/>
          <w:sz w:val="32"/>
          <w:szCs w:val="32"/>
        </w:rPr>
        <w:t>度年初预算数</w:t>
      </w:r>
      <w:r>
        <w:rPr>
          <w:rFonts w:hint="eastAsia" w:ascii="Times New Roman" w:hAnsi="Times New Roman" w:eastAsia="仿宋_GB2312" w:cs="Times New Roman"/>
          <w:color w:val="auto"/>
          <w:sz w:val="32"/>
          <w:szCs w:val="32"/>
          <w:lang w:val="en-US" w:eastAsia="zh-CN"/>
        </w:rPr>
        <w:t>减少10</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lang w:val="en-US" w:eastAsia="zh-CN"/>
        </w:rPr>
        <w:t>049.00</w:t>
      </w:r>
      <w:r>
        <w:rPr>
          <w:rFonts w:ascii="Times New Roman" w:hAnsi="Times New Roman" w:eastAsia="仿宋_GB2312" w:cs="Times New Roman"/>
          <w:color w:val="auto"/>
          <w:sz w:val="32"/>
          <w:szCs w:val="32"/>
        </w:rPr>
        <w:t>元，</w:t>
      </w:r>
      <w:r>
        <w:rPr>
          <w:rFonts w:hint="eastAsia" w:ascii="Times New Roman" w:hAnsi="Times New Roman" w:eastAsia="仿宋_GB2312" w:cs="Times New Roman"/>
          <w:color w:val="auto"/>
          <w:sz w:val="32"/>
          <w:szCs w:val="32"/>
          <w:lang w:eastAsia="zh-CN"/>
        </w:rPr>
        <w:t>下降</w:t>
      </w:r>
      <w:r>
        <w:rPr>
          <w:rFonts w:hint="eastAsia" w:ascii="Times New Roman" w:hAnsi="Times New Roman" w:eastAsia="仿宋_GB2312" w:cs="Times New Roman"/>
          <w:color w:val="auto"/>
          <w:sz w:val="32"/>
          <w:szCs w:val="32"/>
          <w:lang w:val="en-US" w:eastAsia="zh-CN"/>
        </w:rPr>
        <w:t>9.85</w:t>
      </w:r>
      <w:r>
        <w:rPr>
          <w:rFonts w:ascii="Times New Roman" w:hAnsi="Times New Roman" w:eastAsia="仿宋_GB2312" w:cs="Times New Roman"/>
          <w:color w:val="auto"/>
          <w:sz w:val="32"/>
          <w:szCs w:val="32"/>
        </w:rPr>
        <w:t>%，主要原因</w:t>
      </w:r>
      <w:r>
        <w:rPr>
          <w:rFonts w:hint="eastAsia" w:ascii="Times New Roman" w:hAnsi="Times New Roman" w:eastAsia="仿宋_GB2312" w:cs="Times New Roman"/>
          <w:color w:val="auto"/>
          <w:sz w:val="32"/>
          <w:szCs w:val="32"/>
          <w:lang w:eastAsia="zh-CN"/>
        </w:rPr>
        <w:t>是</w:t>
      </w:r>
      <w:r>
        <w:rPr>
          <w:rFonts w:hint="eastAsia" w:ascii="Times New Roman" w:hAnsi="Times New Roman" w:eastAsia="仿宋_GB2312" w:cs="Times New Roman"/>
          <w:color w:val="auto"/>
          <w:sz w:val="32"/>
          <w:szCs w:val="32"/>
          <w:lang w:val="en-US" w:eastAsia="zh-CN"/>
        </w:rPr>
        <w:t>用公用经费缴纳残疾人就业保障金和春节慰问退休人员，分别记入工资福利支出和对个人和家庭的补助科目中，导致商品和服务支出低于年初预算数</w:t>
      </w:r>
      <w:r>
        <w:rPr>
          <w:rFonts w:ascii="Times New Roman" w:hAnsi="Times New Roman" w:eastAsia="仿宋_GB2312" w:cs="Times New Roman"/>
          <w:color w:val="auto"/>
          <w:sz w:val="32"/>
          <w:szCs w:val="32"/>
          <w:highlight w:val="none"/>
        </w:rPr>
        <w:t>；较</w:t>
      </w:r>
      <w:r>
        <w:rPr>
          <w:rFonts w:hint="eastAsia" w:ascii="Times New Roman" w:hAnsi="Times New Roman" w:eastAsia="仿宋_GB2312" w:cs="Times New Roman"/>
          <w:color w:val="auto"/>
          <w:sz w:val="32"/>
          <w:szCs w:val="32"/>
          <w:highlight w:val="none"/>
          <w:lang w:eastAsia="zh-CN"/>
        </w:rPr>
        <w:t>2024年</w:t>
      </w:r>
      <w:r>
        <w:rPr>
          <w:rFonts w:ascii="Times New Roman" w:hAnsi="Times New Roman" w:eastAsia="仿宋_GB2312" w:cs="Times New Roman"/>
          <w:color w:val="auto"/>
          <w:sz w:val="32"/>
          <w:szCs w:val="32"/>
          <w:highlight w:val="none"/>
        </w:rPr>
        <w:t>度决算数</w:t>
      </w:r>
      <w:r>
        <w:rPr>
          <w:rFonts w:hint="eastAsia" w:ascii="Times New Roman" w:hAnsi="Times New Roman" w:eastAsia="仿宋_GB2312" w:cs="Times New Roman"/>
          <w:color w:val="auto"/>
          <w:sz w:val="32"/>
          <w:szCs w:val="32"/>
          <w:highlight w:val="none"/>
          <w:lang w:eastAsia="zh-CN"/>
        </w:rPr>
        <w:t>增加</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highlight w:val="none"/>
          <w:lang w:val="en-US" w:eastAsia="zh-CN"/>
        </w:rPr>
        <w:t>297.65</w:t>
      </w:r>
      <w:r>
        <w:rPr>
          <w:rFonts w:ascii="Times New Roman" w:hAnsi="Times New Roman" w:eastAsia="仿宋_GB2312" w:cs="Times New Roman"/>
          <w:color w:val="auto"/>
          <w:sz w:val="32"/>
          <w:szCs w:val="32"/>
          <w:highlight w:val="none"/>
        </w:rPr>
        <w:t>元，</w:t>
      </w:r>
      <w:r>
        <w:rPr>
          <w:rFonts w:hint="eastAsia" w:ascii="Times New Roman" w:hAnsi="Times New Roman" w:eastAsia="仿宋_GB2312" w:cs="Times New Roman"/>
          <w:color w:val="auto"/>
          <w:sz w:val="32"/>
          <w:szCs w:val="32"/>
          <w:highlight w:val="none"/>
          <w:lang w:eastAsia="zh-CN"/>
        </w:rPr>
        <w:t>增长</w:t>
      </w:r>
      <w:r>
        <w:rPr>
          <w:rFonts w:hint="eastAsia" w:ascii="Times New Roman" w:hAnsi="Times New Roman" w:eastAsia="仿宋_GB2312" w:cs="Times New Roman"/>
          <w:color w:val="auto"/>
          <w:sz w:val="32"/>
          <w:szCs w:val="32"/>
          <w:highlight w:val="none"/>
          <w:lang w:val="en-US" w:eastAsia="zh-CN"/>
        </w:rPr>
        <w:t>2.56</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rPr>
        <w:t>主要原因</w:t>
      </w:r>
      <w:r>
        <w:rPr>
          <w:rFonts w:hint="eastAsia" w:ascii="Times New Roman" w:hAnsi="Times New Roman" w:eastAsia="仿宋_GB2312" w:cs="Times New Roman"/>
          <w:color w:val="auto"/>
          <w:sz w:val="32"/>
          <w:szCs w:val="32"/>
          <w:lang w:eastAsia="zh-CN"/>
        </w:rPr>
        <w:t>是本年</w:t>
      </w:r>
      <w:r>
        <w:rPr>
          <w:rFonts w:hint="eastAsia" w:ascii="Times New Roman" w:hAnsi="Times New Roman" w:eastAsia="仿宋_GB2312" w:cs="Times New Roman"/>
          <w:color w:val="auto"/>
          <w:sz w:val="32"/>
          <w:szCs w:val="32"/>
          <w:lang w:val="en-US" w:eastAsia="zh-CN"/>
        </w:rPr>
        <w:t>干部职工职务晋升，</w:t>
      </w:r>
      <w:r>
        <w:rPr>
          <w:rFonts w:hint="eastAsia" w:ascii="Times New Roman" w:hAnsi="Times New Roman" w:eastAsia="仿宋_GB2312" w:cs="Times New Roman"/>
          <w:color w:val="auto"/>
          <w:sz w:val="32"/>
          <w:szCs w:val="32"/>
          <w:lang w:eastAsia="zh-CN"/>
        </w:rPr>
        <w:t>公务交通补贴增</w:t>
      </w:r>
      <w:r>
        <w:rPr>
          <w:rFonts w:hint="eastAsia" w:ascii="Times New Roman" w:hAnsi="Times New Roman" w:eastAsia="仿宋_GB2312" w:cs="Times New Roman"/>
          <w:color w:val="auto"/>
          <w:sz w:val="32"/>
          <w:szCs w:val="32"/>
          <w:lang w:val="en-US" w:eastAsia="zh-CN"/>
        </w:rPr>
        <w:t>长</w:t>
      </w:r>
      <w:r>
        <w:rPr>
          <w:rFonts w:hint="eastAsia" w:ascii="Times New Roman" w:hAnsi="Times New Roman" w:eastAsia="仿宋_GB2312" w:cs="Times New Roman"/>
          <w:color w:val="auto"/>
          <w:sz w:val="32"/>
          <w:szCs w:val="32"/>
          <w:lang w:eastAsia="zh-CN"/>
        </w:rPr>
        <w:t>。</w:t>
      </w:r>
    </w:p>
    <w:p>
      <w:pPr>
        <w:keepLines w:val="0"/>
        <w:pageBreakBefore w:val="0"/>
        <w:kinsoku/>
        <w:wordWrap/>
        <w:topLinePunct w:val="0"/>
        <w:bidi w:val="0"/>
        <w:snapToGrid w:val="0"/>
        <w:spacing w:line="560" w:lineRule="exact"/>
        <w:ind w:left="0" w:leftChars="0" w:right="0" w:righ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3.对个人和家庭的补助</w:t>
      </w:r>
      <w:r>
        <w:rPr>
          <w:rFonts w:hint="eastAsia" w:ascii="Times New Roman" w:hAnsi="Times New Roman" w:eastAsia="仿宋_GB2312" w:cs="Times New Roman"/>
          <w:sz w:val="32"/>
          <w:szCs w:val="32"/>
          <w:lang w:val="en-US" w:eastAsia="zh-CN"/>
        </w:rPr>
        <w:t>42</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lang w:val="en-US" w:eastAsia="zh-CN"/>
        </w:rPr>
        <w:t>841.32元</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较</w:t>
      </w:r>
      <w:r>
        <w:rPr>
          <w:rFonts w:hint="eastAsia"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rPr>
        <w:t>度年初预算数</w:t>
      </w:r>
      <w:r>
        <w:rPr>
          <w:rFonts w:hint="eastAsia" w:ascii="Times New Roman" w:hAnsi="Times New Roman" w:eastAsia="仿宋_GB2312" w:cs="Times New Roman"/>
          <w:color w:val="auto"/>
          <w:sz w:val="32"/>
          <w:szCs w:val="32"/>
          <w:lang w:val="en-US" w:eastAsia="zh-CN"/>
        </w:rPr>
        <w:t>减少44</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lang w:val="en-US" w:eastAsia="zh-CN"/>
        </w:rPr>
        <w:t>348.68</w:t>
      </w:r>
      <w:r>
        <w:rPr>
          <w:rFonts w:hint="default" w:ascii="Times New Roman" w:hAnsi="Times New Roman" w:eastAsia="仿宋_GB2312" w:cs="Times New Roman"/>
          <w:color w:val="auto"/>
          <w:sz w:val="32"/>
          <w:szCs w:val="32"/>
        </w:rPr>
        <w:t>元，</w:t>
      </w:r>
      <w:r>
        <w:rPr>
          <w:rFonts w:hint="eastAsia" w:ascii="Times New Roman" w:hAnsi="Times New Roman" w:eastAsia="仿宋_GB2312" w:cs="Times New Roman"/>
          <w:color w:val="auto"/>
          <w:sz w:val="32"/>
          <w:szCs w:val="32"/>
          <w:lang w:val="en-US" w:eastAsia="zh-CN"/>
        </w:rPr>
        <w:t>下降50.86</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，主要原因</w:t>
      </w:r>
      <w:r>
        <w:rPr>
          <w:rFonts w:hint="eastAsia" w:ascii="Times New Roman" w:hAnsi="Times New Roman" w:eastAsia="仿宋_GB2312" w:cs="Times New Roman"/>
          <w:color w:val="auto"/>
          <w:sz w:val="32"/>
          <w:szCs w:val="32"/>
          <w:lang w:val="en-US" w:eastAsia="zh-CN"/>
        </w:rPr>
        <w:t>是本年退休人员部分奖补未发放和退休人员医疗补助缴费费率下调2%；</w:t>
      </w:r>
      <w:r>
        <w:rPr>
          <w:rFonts w:hint="eastAsia" w:ascii="Times New Roman" w:hAnsi="Times New Roman" w:eastAsia="仿宋_GB2312" w:cs="Times New Roman"/>
          <w:color w:val="auto"/>
          <w:sz w:val="32"/>
          <w:szCs w:val="32"/>
          <w:highlight w:val="none"/>
          <w:lang w:eastAsia="zh-CN"/>
        </w:rPr>
        <w:t>较2024年度决算数减少</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highlight w:val="none"/>
          <w:lang w:val="en-US" w:eastAsia="zh-CN"/>
        </w:rPr>
        <w:t>220.12</w:t>
      </w:r>
      <w:r>
        <w:rPr>
          <w:rFonts w:ascii="Times New Roman" w:hAnsi="Times New Roman" w:eastAsia="仿宋_GB2312" w:cs="Times New Roman"/>
          <w:color w:val="auto"/>
          <w:sz w:val="32"/>
          <w:szCs w:val="32"/>
          <w:highlight w:val="none"/>
        </w:rPr>
        <w:t>元，</w:t>
      </w:r>
      <w:r>
        <w:rPr>
          <w:rFonts w:hint="eastAsia" w:ascii="Times New Roman" w:hAnsi="Times New Roman" w:eastAsia="仿宋_GB2312" w:cs="Times New Roman"/>
          <w:color w:val="auto"/>
          <w:sz w:val="32"/>
          <w:szCs w:val="32"/>
          <w:highlight w:val="none"/>
          <w:lang w:eastAsia="zh-CN"/>
        </w:rPr>
        <w:t>下降</w:t>
      </w:r>
      <w:r>
        <w:rPr>
          <w:rFonts w:hint="eastAsia" w:ascii="Times New Roman" w:hAnsi="Times New Roman" w:eastAsia="仿宋_GB2312" w:cs="Times New Roman"/>
          <w:color w:val="auto"/>
          <w:sz w:val="32"/>
          <w:szCs w:val="32"/>
          <w:highlight w:val="none"/>
          <w:lang w:val="en-US" w:eastAsia="zh-CN"/>
        </w:rPr>
        <w:t>10.86</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主要原因是</w:t>
      </w:r>
      <w:r>
        <w:rPr>
          <w:rFonts w:hint="eastAsia" w:ascii="Times New Roman" w:hAnsi="Times New Roman" w:eastAsia="仿宋_GB2312" w:cs="Times New Roman"/>
          <w:color w:val="auto"/>
          <w:sz w:val="32"/>
          <w:szCs w:val="32"/>
          <w:highlight w:val="none"/>
          <w:lang w:val="en-US" w:eastAsia="zh-CN"/>
        </w:rPr>
        <w:t>本</w:t>
      </w:r>
      <w:r>
        <w:rPr>
          <w:rFonts w:hint="eastAsia"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退休人员医疗补助缴费费率下调2%。</w:t>
      </w:r>
    </w:p>
    <w:p>
      <w:pPr>
        <w:keepLines w:val="0"/>
        <w:pageBreakBefore w:val="0"/>
        <w:kinsoku/>
        <w:wordWrap/>
        <w:overflowPunct w:val="0"/>
        <w:topLinePunct w:val="0"/>
        <w:bidi w:val="0"/>
        <w:spacing w:line="560" w:lineRule="exact"/>
        <w:ind w:left="0" w:leftChars="0" w:right="0" w:rightChars="0" w:firstLine="643" w:firstLineChars="200"/>
        <w:jc w:val="both"/>
        <w:textAlignment w:val="auto"/>
        <w:outlineLvl w:val="1"/>
        <w:rPr>
          <w:rFonts w:ascii="Times New Roman" w:hAnsi="Times New Roman" w:eastAsia="楷体_GB2312" w:cs="Times New Roman"/>
          <w:b/>
          <w:bCs/>
          <w:kern w:val="0"/>
          <w:sz w:val="32"/>
          <w:szCs w:val="32"/>
        </w:rPr>
      </w:pPr>
      <w:r>
        <w:rPr>
          <w:rFonts w:ascii="Times New Roman" w:hAnsi="Times New Roman" w:eastAsia="楷体_GB2312" w:cs="Times New Roman"/>
          <w:b/>
          <w:bCs/>
          <w:kern w:val="0"/>
          <w:sz w:val="32"/>
          <w:szCs w:val="32"/>
        </w:rPr>
        <w:t>七、财政拨款“三公”经费支出决算情况说明</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59" w:firstLineChars="205"/>
        <w:jc w:val="both"/>
        <w:textAlignment w:val="auto"/>
        <w:rPr>
          <w:rFonts w:ascii="仿宋_GB2312" w:hAnsi="仿宋_GB2312" w:eastAsia="仿宋_GB2312" w:cs="仿宋_GB2312"/>
          <w:b/>
          <w:kern w:val="0"/>
          <w:sz w:val="32"/>
          <w:szCs w:val="32"/>
        </w:rPr>
      </w:pPr>
      <w:r>
        <w:rPr>
          <w:rFonts w:ascii="仿宋_GB2312" w:hAnsi="仿宋_GB2312" w:eastAsia="仿宋_GB2312" w:cs="仿宋_GB2312"/>
          <w:b/>
          <w:kern w:val="0"/>
          <w:sz w:val="32"/>
          <w:szCs w:val="32"/>
        </w:rPr>
        <w:t>（一）“三公”经费财政拨款支出决算</w:t>
      </w:r>
      <w:r>
        <w:rPr>
          <w:rFonts w:hint="eastAsia" w:ascii="仿宋_GB2312" w:hAnsi="仿宋_GB2312" w:eastAsia="仿宋_GB2312" w:cs="仿宋_GB2312"/>
          <w:b/>
          <w:kern w:val="0"/>
          <w:sz w:val="32"/>
          <w:szCs w:val="32"/>
        </w:rPr>
        <w:t>总体情况说明</w:t>
      </w:r>
      <w:r>
        <w:rPr>
          <w:rFonts w:ascii="仿宋_GB2312" w:hAnsi="仿宋_GB2312" w:eastAsia="仿宋_GB2312" w:cs="仿宋_GB2312"/>
          <w:b/>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56" w:firstLineChars="205"/>
        <w:jc w:val="both"/>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2025年度</w:t>
      </w:r>
      <w:r>
        <w:rPr>
          <w:rFonts w:ascii="Times New Roman" w:hAnsi="Times New Roman" w:eastAsia="仿宋_GB2312" w:cs="Times New Roman"/>
          <w:kern w:val="0"/>
          <w:sz w:val="32"/>
          <w:szCs w:val="32"/>
        </w:rPr>
        <w:t>“三公”经</w:t>
      </w:r>
      <w:r>
        <w:rPr>
          <w:rFonts w:hint="eastAsia" w:ascii="Times New Roman" w:hAnsi="Times New Roman" w:eastAsia="仿宋_GB2312" w:cs="Times New Roman"/>
          <w:kern w:val="0"/>
          <w:sz w:val="32"/>
          <w:szCs w:val="32"/>
          <w:lang w:eastAsia="zh-CN"/>
        </w:rPr>
        <w:t>费</w:t>
      </w:r>
      <w:r>
        <w:rPr>
          <w:rFonts w:ascii="Times New Roman" w:hAnsi="Times New Roman" w:eastAsia="仿宋_GB2312" w:cs="Times New Roman"/>
          <w:kern w:val="0"/>
          <w:sz w:val="32"/>
          <w:szCs w:val="32"/>
        </w:rPr>
        <w:t>财政拨款支出预算为</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kern w:val="0"/>
          <w:sz w:val="32"/>
          <w:szCs w:val="32"/>
          <w:lang w:val="en-US" w:eastAsia="zh-CN"/>
        </w:rPr>
        <w:t>000.00</w:t>
      </w:r>
      <w:r>
        <w:rPr>
          <w:rFonts w:ascii="Times New Roman" w:hAnsi="Times New Roman" w:eastAsia="仿宋_GB2312" w:cs="Times New Roman"/>
          <w:kern w:val="0"/>
          <w:sz w:val="32"/>
          <w:szCs w:val="32"/>
        </w:rPr>
        <w:t>元，支出决算为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u w:val="none"/>
        </w:rPr>
        <w:t>完成预算的</w:t>
      </w:r>
      <w:r>
        <w:rPr>
          <w:rFonts w:hint="eastAsia" w:ascii="Times New Roman" w:hAnsi="Times New Roman" w:eastAsia="仿宋_GB2312" w:cs="Times New Roman"/>
          <w:kern w:val="0"/>
          <w:sz w:val="32"/>
          <w:szCs w:val="32"/>
          <w:u w:val="none"/>
          <w:lang w:val="en-US" w:eastAsia="zh-CN"/>
        </w:rPr>
        <w:t>0.00</w:t>
      </w:r>
      <w:r>
        <w:rPr>
          <w:rFonts w:hint="default" w:ascii="Times New Roman" w:hAnsi="Times New Roman" w:eastAsia="仿宋_GB2312" w:cs="Times New Roman"/>
          <w:kern w:val="0"/>
          <w:sz w:val="32"/>
          <w:szCs w:val="32"/>
          <w:u w:val="none"/>
        </w:rPr>
        <w:t>%</w:t>
      </w:r>
      <w:r>
        <w:rPr>
          <w:rFonts w:hint="eastAsia" w:ascii="Times New Roman" w:hAnsi="Times New Roman" w:eastAsia="仿宋_GB2312" w:cs="Times New Roman"/>
          <w:kern w:val="0"/>
          <w:sz w:val="32"/>
          <w:szCs w:val="32"/>
          <w:u w:val="none"/>
          <w:lang w:eastAsia="zh-CN"/>
        </w:rPr>
        <w:t>，</w:t>
      </w:r>
      <w:r>
        <w:rPr>
          <w:rFonts w:hint="eastAsia" w:ascii="Times New Roman" w:hAnsi="Times New Roman" w:eastAsia="仿宋_GB2312" w:cs="Times New Roman"/>
          <w:kern w:val="0"/>
          <w:sz w:val="32"/>
          <w:szCs w:val="32"/>
          <w:lang w:eastAsia="zh-CN"/>
        </w:rPr>
        <w:t>2025年度</w:t>
      </w:r>
      <w:r>
        <w:rPr>
          <w:rFonts w:ascii="Times New Roman" w:hAnsi="Times New Roman" w:eastAsia="仿宋_GB2312" w:cs="Times New Roman"/>
          <w:kern w:val="0"/>
          <w:sz w:val="32"/>
          <w:szCs w:val="32"/>
        </w:rPr>
        <w:t>“三公”经费支出决算数</w:t>
      </w:r>
      <w:r>
        <w:rPr>
          <w:rFonts w:hint="eastAsia" w:ascii="Times New Roman" w:hAnsi="Times New Roman" w:eastAsia="仿宋_GB2312" w:cs="Times New Roman"/>
          <w:kern w:val="0"/>
          <w:sz w:val="32"/>
          <w:szCs w:val="32"/>
          <w:lang w:val="en-US" w:eastAsia="zh-CN"/>
        </w:rPr>
        <w:t>小于</w:t>
      </w:r>
      <w:r>
        <w:rPr>
          <w:rFonts w:hint="default" w:ascii="Times New Roman" w:hAnsi="Times New Roman" w:eastAsia="仿宋_GB2312" w:cs="Times New Roman"/>
          <w:kern w:val="0"/>
          <w:sz w:val="32"/>
          <w:szCs w:val="32"/>
        </w:rPr>
        <w:t>预算数</w:t>
      </w:r>
      <w:r>
        <w:rPr>
          <w:rFonts w:hint="eastAsia" w:ascii="Times New Roman" w:hAnsi="Times New Roman" w:eastAsia="仿宋_GB2312" w:cs="Times New Roman"/>
          <w:kern w:val="0"/>
          <w:sz w:val="32"/>
          <w:szCs w:val="32"/>
          <w:lang w:eastAsia="zh-CN"/>
        </w:rPr>
        <w:t>的</w:t>
      </w:r>
      <w:r>
        <w:rPr>
          <w:rFonts w:hint="eastAsia" w:ascii="Times New Roman" w:hAnsi="Times New Roman" w:eastAsia="仿宋_GB2312" w:cs="Times New Roman"/>
          <w:kern w:val="0"/>
          <w:sz w:val="32"/>
          <w:szCs w:val="32"/>
          <w:lang w:val="en-US" w:eastAsia="zh-CN"/>
        </w:rPr>
        <w:t>主要原因是本年无此类公务活动，未产生费用</w:t>
      </w:r>
      <w:r>
        <w:rPr>
          <w:rFonts w:hint="default" w:ascii="Times New Roman" w:hAnsi="Times New Roman" w:eastAsia="仿宋_GB2312" w:cs="Times New Roman"/>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56" w:firstLineChars="205"/>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eastAsia="zh-CN"/>
        </w:rPr>
        <w:t>2025年度</w:t>
      </w:r>
      <w:r>
        <w:rPr>
          <w:rFonts w:ascii="Times New Roman" w:hAnsi="Times New Roman" w:eastAsia="仿宋_GB2312" w:cs="Times New Roman"/>
          <w:kern w:val="0"/>
          <w:sz w:val="32"/>
          <w:szCs w:val="32"/>
        </w:rPr>
        <w:t>“三公”经费财政拨款支出决算数</w:t>
      </w:r>
      <w:r>
        <w:rPr>
          <w:rFonts w:hint="eastAsia" w:ascii="Times New Roman" w:hAnsi="Times New Roman" w:eastAsia="仿宋_GB2312" w:cs="Times New Roman"/>
          <w:kern w:val="0"/>
          <w:sz w:val="32"/>
          <w:szCs w:val="32"/>
          <w:lang w:eastAsia="zh-CN"/>
        </w:rPr>
        <w:t>与</w:t>
      </w:r>
      <w:r>
        <w:rPr>
          <w:rFonts w:hint="eastAsia" w:ascii="Times New Roman" w:hAnsi="Times New Roman" w:eastAsia="仿宋_GB2312" w:cs="Times New Roman"/>
          <w:kern w:val="0"/>
          <w:sz w:val="32"/>
          <w:szCs w:val="32"/>
          <w:lang w:val="en-US" w:eastAsia="zh-CN"/>
        </w:rPr>
        <w:t>2024年</w:t>
      </w:r>
      <w:r>
        <w:rPr>
          <w:rFonts w:hint="eastAsia" w:ascii="Times New Roman" w:hAnsi="Times New Roman" w:eastAsia="仿宋_GB2312" w:cs="Times New Roman"/>
          <w:kern w:val="0"/>
          <w:sz w:val="32"/>
          <w:szCs w:val="32"/>
          <w:lang w:eastAsia="zh-CN"/>
        </w:rPr>
        <w:t>度</w:t>
      </w:r>
      <w:r>
        <w:rPr>
          <w:rFonts w:hint="eastAsia" w:ascii="Times New Roman" w:hAnsi="Times New Roman" w:eastAsia="仿宋_GB2312" w:cs="Times New Roman"/>
          <w:kern w:val="0"/>
          <w:sz w:val="32"/>
          <w:szCs w:val="32"/>
          <w:lang w:val="en-US" w:eastAsia="zh-CN"/>
        </w:rPr>
        <w:t>持平，无发生额，</w:t>
      </w:r>
      <w:r>
        <w:rPr>
          <w:rFonts w:hint="default" w:ascii="Times New Roman" w:hAnsi="Times New Roman" w:eastAsia="仿宋_GB2312" w:cs="Times New Roman"/>
          <w:kern w:val="0"/>
          <w:sz w:val="32"/>
          <w:szCs w:val="32"/>
        </w:rPr>
        <w:t>主要原因</w:t>
      </w:r>
      <w:r>
        <w:rPr>
          <w:rFonts w:hint="eastAsia" w:ascii="Times New Roman" w:hAnsi="Times New Roman" w:eastAsia="仿宋_GB2312" w:cs="Times New Roman"/>
          <w:kern w:val="0"/>
          <w:sz w:val="32"/>
          <w:szCs w:val="32"/>
          <w:lang w:eastAsia="zh-CN"/>
        </w:rPr>
        <w:t>：一</w:t>
      </w:r>
      <w:r>
        <w:rPr>
          <w:rFonts w:hint="default" w:ascii="Times New Roman" w:hAnsi="Times New Roman" w:eastAsia="仿宋_GB2312" w:cs="Times New Roman"/>
          <w:kern w:val="0"/>
          <w:sz w:val="32"/>
          <w:szCs w:val="32"/>
        </w:rPr>
        <w:t>是</w:t>
      </w:r>
      <w:r>
        <w:rPr>
          <w:rFonts w:hint="eastAsia" w:ascii="Times New Roman" w:hAnsi="Times New Roman" w:eastAsia="仿宋_GB2312" w:cs="Times New Roman"/>
          <w:kern w:val="0"/>
          <w:sz w:val="32"/>
          <w:szCs w:val="32"/>
          <w:lang w:val="en-US" w:eastAsia="zh-CN"/>
        </w:rPr>
        <w:t>本单位近两年无因公出国活动</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二是</w:t>
      </w:r>
      <w:r>
        <w:rPr>
          <w:rFonts w:hint="eastAsia" w:ascii="Times New Roman" w:hAnsi="Times New Roman" w:eastAsia="仿宋_GB2312" w:cs="Times New Roman"/>
          <w:kern w:val="0"/>
          <w:sz w:val="32"/>
          <w:szCs w:val="32"/>
          <w:lang w:val="en-US" w:eastAsia="zh-CN"/>
        </w:rPr>
        <w:t>本单位无公务用车，也未购置公务用车</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三是</w:t>
      </w:r>
      <w:r>
        <w:rPr>
          <w:rFonts w:hint="eastAsia" w:ascii="Times New Roman" w:hAnsi="Times New Roman" w:eastAsia="仿宋_GB2312" w:cs="Times New Roman"/>
          <w:kern w:val="0"/>
          <w:sz w:val="32"/>
          <w:szCs w:val="32"/>
          <w:lang w:val="en-US" w:eastAsia="zh-CN"/>
        </w:rPr>
        <w:t>近两年无公务接待事宜，未产生费用。</w:t>
      </w:r>
    </w:p>
    <w:p>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59" w:firstLineChars="205"/>
        <w:jc w:val="both"/>
        <w:textAlignment w:val="auto"/>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lang w:val="en-US" w:eastAsia="zh-CN"/>
        </w:rPr>
        <w:t>（二）</w:t>
      </w:r>
      <w:r>
        <w:rPr>
          <w:rFonts w:ascii="仿宋_GB2312" w:hAnsi="仿宋_GB2312" w:eastAsia="仿宋_GB2312" w:cs="仿宋_GB2312"/>
          <w:b/>
          <w:kern w:val="0"/>
          <w:sz w:val="32"/>
          <w:szCs w:val="32"/>
        </w:rPr>
        <w:t>“</w:t>
      </w:r>
      <w:r>
        <w:rPr>
          <w:rFonts w:ascii="仿宋_GB2312" w:hAnsi="仿宋_GB2312" w:eastAsia="仿宋_GB2312" w:cs="仿宋_GB2312"/>
          <w:b/>
          <w:sz w:val="32"/>
          <w:szCs w:val="32"/>
        </w:rPr>
        <w:t>三公”经费财政拨款支出决算具体情况说明。</w:t>
      </w:r>
    </w:p>
    <w:p>
      <w:pPr>
        <w:pStyle w:val="13"/>
        <w:keepNext w:val="0"/>
        <w:keepLines w:val="0"/>
        <w:pageBreakBefore w:val="0"/>
        <w:kinsoku/>
        <w:wordWrap/>
        <w:overflowPunct w:val="0"/>
        <w:topLinePunct w:val="0"/>
        <w:bidi w:val="0"/>
        <w:snapToGrid/>
        <w:spacing w:line="560" w:lineRule="exact"/>
        <w:ind w:left="0" w:leftChars="0" w:right="0" w:rightChars="0" w:firstLine="630" w:firstLineChars="196"/>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b/>
          <w:color w:val="auto"/>
          <w:sz w:val="32"/>
          <w:szCs w:val="32"/>
        </w:rPr>
        <w:t>1.因公出国（境）费</w:t>
      </w:r>
      <w:r>
        <w:rPr>
          <w:rFonts w:ascii="Times New Roman" w:hAnsi="Times New Roman" w:eastAsia="仿宋_GB2312" w:cs="Times New Roman"/>
          <w:bCs/>
          <w:color w:val="auto"/>
          <w:sz w:val="32"/>
          <w:szCs w:val="32"/>
        </w:rPr>
        <w:t>预算为</w:t>
      </w:r>
      <w:r>
        <w:rPr>
          <w:rFonts w:hint="eastAsia" w:ascii="Times New Roman" w:hAnsi="Times New Roman" w:eastAsia="仿宋_GB2312" w:cs="Times New Roman"/>
          <w:bCs/>
          <w:color w:val="auto"/>
          <w:sz w:val="32"/>
          <w:szCs w:val="32"/>
          <w:lang w:val="en-US" w:eastAsia="zh-CN"/>
        </w:rPr>
        <w:t>0.00</w:t>
      </w:r>
      <w:r>
        <w:rPr>
          <w:rFonts w:ascii="Times New Roman" w:hAnsi="Times New Roman" w:eastAsia="仿宋_GB2312" w:cs="Times New Roman"/>
          <w:bCs/>
          <w:color w:val="auto"/>
          <w:sz w:val="32"/>
          <w:szCs w:val="32"/>
        </w:rPr>
        <w:t>元，</w:t>
      </w:r>
      <w:r>
        <w:rPr>
          <w:rFonts w:ascii="Times New Roman" w:hAnsi="Times New Roman" w:eastAsia="仿宋_GB2312" w:cs="Times New Roman"/>
          <w:sz w:val="32"/>
          <w:szCs w:val="32"/>
        </w:rPr>
        <w:t>支出决算为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元，</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与</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2024年</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保持一致</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无增减变动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决算数与预算数一致的主要原因是本单位无因公出国活动，未安排因公出国（境）费用。决算数与上年数一致的主要原因是本单位近两年无因公出国活动。</w:t>
      </w:r>
      <w:r>
        <w:rPr>
          <w:rFonts w:hint="eastAsia" w:ascii="Times New Roman" w:hAnsi="Times New Roman" w:eastAsia="仿宋_GB2312" w:cs="Times New Roman"/>
          <w:color w:val="auto"/>
          <w:sz w:val="32"/>
          <w:szCs w:val="32"/>
          <w:lang w:eastAsia="zh-CN"/>
        </w:rPr>
        <w:t>2025年</w:t>
      </w:r>
      <w:r>
        <w:rPr>
          <w:rFonts w:ascii="Times New Roman" w:hAnsi="Times New Roman" w:eastAsia="仿宋_GB2312" w:cs="Times New Roman"/>
          <w:color w:val="auto"/>
          <w:sz w:val="32"/>
          <w:szCs w:val="32"/>
        </w:rPr>
        <w:t>度因公出国（境）团组数</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个，累计因公出国（境）人次数</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val="en-US" w:eastAsia="zh-CN"/>
        </w:rPr>
        <w:t>主要是无因公出国活动</w:t>
      </w:r>
      <w:r>
        <w:rPr>
          <w:rFonts w:ascii="Times New Roman" w:hAnsi="Times New Roman" w:eastAsia="仿宋_GB2312" w:cs="Times New Roman"/>
          <w:color w:val="auto"/>
          <w:sz w:val="32"/>
          <w:szCs w:val="32"/>
        </w:rPr>
        <w:t xml:space="preserve">。 </w:t>
      </w:r>
    </w:p>
    <w:p>
      <w:pPr>
        <w:keepNext w:val="0"/>
        <w:keepLines w:val="0"/>
        <w:pageBreakBefore w:val="0"/>
        <w:kinsoku/>
        <w:wordWrap/>
        <w:overflowPunct w:val="0"/>
        <w:topLinePunct w:val="0"/>
        <w:autoSpaceDE w:val="0"/>
        <w:autoSpaceDN w:val="0"/>
        <w:bidi w:val="0"/>
        <w:adjustRightInd w:val="0"/>
        <w:snapToGrid/>
        <w:spacing w:line="560" w:lineRule="exact"/>
        <w:ind w:left="0" w:leftChars="0" w:right="0" w:rightChars="0" w:firstLine="630" w:firstLineChars="196"/>
        <w:jc w:val="both"/>
        <w:textAlignment w:val="auto"/>
        <w:rPr>
          <w:rFonts w:hint="default" w:ascii="Times New Roman" w:hAnsi="Times New Roman" w:eastAsia="仿宋_GB2312" w:cs="Times New Roman"/>
          <w:b/>
          <w:color w:val="000000" w:themeColor="text1"/>
          <w:kern w:val="0"/>
          <w:sz w:val="32"/>
          <w:szCs w:val="32"/>
          <w14:textFill>
            <w14:solidFill>
              <w14:schemeClr w14:val="tx1"/>
            </w14:solidFill>
          </w14:textFill>
        </w:rPr>
      </w:pPr>
      <w:r>
        <w:rPr>
          <w:rFonts w:ascii="Times New Roman" w:hAnsi="Times New Roman" w:eastAsia="仿宋_GB2312" w:cs="Times New Roman"/>
          <w:b/>
          <w:kern w:val="0"/>
          <w:sz w:val="32"/>
          <w:szCs w:val="32"/>
        </w:rPr>
        <w:t>2.公务用车购置及运行维护费</w:t>
      </w:r>
      <w:r>
        <w:rPr>
          <w:rFonts w:ascii="Times New Roman" w:hAnsi="Times New Roman" w:eastAsia="仿宋_GB2312" w:cs="Times New Roman"/>
          <w:kern w:val="0"/>
          <w:sz w:val="32"/>
          <w:szCs w:val="32"/>
        </w:rPr>
        <w:t>预算为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元，支出决算为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w:t>
      </w:r>
      <w:r>
        <w:rPr>
          <w:rFonts w:hint="eastAsia" w:ascii="Times New Roman" w:hAnsi="Times New Roman" w:eastAsia="仿宋_GB2312" w:cs="Times New Roman"/>
          <w:sz w:val="32"/>
          <w:szCs w:val="32"/>
          <w:lang w:eastAsia="zh-CN"/>
        </w:rPr>
        <w:t>与</w:t>
      </w:r>
      <w:r>
        <w:rPr>
          <w:rFonts w:hint="eastAsia" w:ascii="Times New Roman" w:hAnsi="Times New Roman" w:eastAsia="仿宋_GB2312" w:cs="Times New Roman"/>
          <w:sz w:val="32"/>
          <w:szCs w:val="32"/>
          <w:lang w:val="en-US" w:eastAsia="zh-CN"/>
        </w:rPr>
        <w:t>2024年度保持一致，无增减变动。</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决算数</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预算数</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一致的</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主要原因是</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本单位无公务用车，也未购置公务用车</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。决算数</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上年</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数一致的</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主要原因是</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本单位无公务用车，也未购置公务用车</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p>
    <w:p>
      <w:pPr>
        <w:keepNext w:val="0"/>
        <w:keepLines w:val="0"/>
        <w:pageBreakBefore w:val="0"/>
        <w:kinsoku/>
        <w:wordWrap/>
        <w:overflowPunct w:val="0"/>
        <w:topLinePunct w:val="0"/>
        <w:autoSpaceDE w:val="0"/>
        <w:autoSpaceDN w:val="0"/>
        <w:bidi w:val="0"/>
        <w:adjustRightInd w:val="0"/>
        <w:snapToGrid/>
        <w:spacing w:line="560" w:lineRule="exact"/>
        <w:ind w:left="0" w:leftChars="0" w:right="0" w:rightChars="0" w:firstLine="627" w:firstLineChars="196"/>
        <w:jc w:val="both"/>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kern w:val="0"/>
          <w:sz w:val="32"/>
          <w:szCs w:val="32"/>
        </w:rPr>
        <w:t>其中：</w:t>
      </w:r>
      <w:r>
        <w:rPr>
          <w:rFonts w:ascii="Times New Roman" w:hAnsi="Times New Roman" w:eastAsia="仿宋_GB2312" w:cs="Times New Roman"/>
          <w:b/>
          <w:bCs/>
          <w:kern w:val="0"/>
          <w:sz w:val="32"/>
          <w:szCs w:val="32"/>
          <w:highlight w:val="none"/>
        </w:rPr>
        <w:t>公务用车购置费</w:t>
      </w:r>
      <w:r>
        <w:rPr>
          <w:rFonts w:ascii="Times New Roman" w:hAnsi="Times New Roman" w:eastAsia="仿宋_GB2312" w:cs="Times New Roman"/>
          <w:kern w:val="0"/>
          <w:sz w:val="32"/>
          <w:szCs w:val="32"/>
        </w:rPr>
        <w:t>支出为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w:t>
      </w:r>
      <w:r>
        <w:rPr>
          <w:rFonts w:hint="default" w:ascii="Times New Roman" w:hAnsi="Times New Roman" w:eastAsia="仿宋_GB2312" w:cs="Times New Roman"/>
          <w:color w:val="000000" w:themeColor="text1"/>
          <w:kern w:val="0"/>
          <w:sz w:val="32"/>
          <w:szCs w:val="32"/>
          <w14:textFill>
            <w14:solidFill>
              <w14:schemeClr w14:val="tx1"/>
            </w14:solidFill>
          </w14:textFill>
        </w:rPr>
        <w:t>购置数</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为</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公务用车运行维护费支出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0.00</w:t>
      </w:r>
      <w:r>
        <w:rPr>
          <w:rFonts w:hint="default" w:ascii="Times New Roman" w:hAnsi="Times New Roman" w:eastAsia="仿宋_GB2312" w:cs="Times New Roman"/>
          <w:b w:val="0"/>
          <w:bCs w:val="0"/>
          <w:color w:val="000000" w:themeColor="text1"/>
          <w:kern w:val="0"/>
          <w:sz w:val="32"/>
          <w:szCs w:val="32"/>
          <w14:textFill>
            <w14:solidFill>
              <w14:schemeClr w14:val="tx1"/>
            </w14:solidFill>
          </w14:textFill>
        </w:rPr>
        <w:t>元，</w:t>
      </w:r>
      <w:r>
        <w:rPr>
          <w:rFonts w:hint="default" w:ascii="Times New Roman" w:hAnsi="Times New Roman" w:eastAsia="仿宋_GB2312" w:cs="Times New Roman"/>
          <w:color w:val="000000" w:themeColor="text1"/>
          <w:kern w:val="0"/>
          <w:sz w:val="32"/>
          <w:szCs w:val="32"/>
          <w14:textFill>
            <w14:solidFill>
              <w14:schemeClr w14:val="tx1"/>
            </w14:solidFill>
          </w14:textFill>
        </w:rPr>
        <w:t>主要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是本单位无公务用车</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截至</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2025年</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12月31日</w:t>
      </w:r>
      <w:r>
        <w:rPr>
          <w:rFonts w:hint="default" w:ascii="Times New Roman" w:hAnsi="Times New Roman" w:eastAsia="仿宋_GB2312" w:cs="Times New Roman"/>
          <w:color w:val="000000" w:themeColor="text1"/>
          <w:kern w:val="0"/>
          <w:sz w:val="32"/>
          <w:szCs w:val="32"/>
          <w14:textFill>
            <w14:solidFill>
              <w14:schemeClr w14:val="tx1"/>
            </w14:solidFill>
          </w14:textFill>
        </w:rPr>
        <w:t>开支</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财政拨款的</w:t>
      </w:r>
      <w:r>
        <w:rPr>
          <w:rFonts w:hint="default" w:ascii="Times New Roman" w:hAnsi="Times New Roman" w:eastAsia="仿宋_GB2312" w:cs="Times New Roman"/>
          <w:color w:val="000000" w:themeColor="text1"/>
          <w:kern w:val="0"/>
          <w:sz w:val="32"/>
          <w:szCs w:val="32"/>
          <w14:textFill>
            <w14:solidFill>
              <w14:schemeClr w14:val="tx1"/>
            </w14:solidFill>
          </w14:textFill>
        </w:rPr>
        <w:t>公务用车保有量为</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p>
    <w:p>
      <w:pPr>
        <w:keepNext w:val="0"/>
        <w:keepLines w:val="0"/>
        <w:pageBreakBefore w:val="0"/>
        <w:kinsoku/>
        <w:wordWrap/>
        <w:overflowPunct w:val="0"/>
        <w:topLinePunct w:val="0"/>
        <w:autoSpaceDE w:val="0"/>
        <w:autoSpaceDN w:val="0"/>
        <w:bidi w:val="0"/>
        <w:adjustRightInd w:val="0"/>
        <w:snapToGrid/>
        <w:spacing w:line="560" w:lineRule="exact"/>
        <w:ind w:left="0" w:leftChars="0" w:right="0" w:rightChars="0" w:firstLine="630" w:firstLineChars="196"/>
        <w:jc w:val="both"/>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b/>
          <w:kern w:val="0"/>
          <w:sz w:val="32"/>
          <w:szCs w:val="32"/>
          <w:lang w:val="en-US" w:eastAsia="zh-CN"/>
        </w:rPr>
        <w:t>3.</w:t>
      </w:r>
      <w:r>
        <w:rPr>
          <w:rFonts w:ascii="Times New Roman" w:hAnsi="Times New Roman" w:eastAsia="仿宋_GB2312" w:cs="Times New Roman"/>
          <w:b/>
          <w:kern w:val="0"/>
          <w:sz w:val="32"/>
          <w:szCs w:val="32"/>
        </w:rPr>
        <w:t>公务接待费</w:t>
      </w:r>
      <w:r>
        <w:rPr>
          <w:rFonts w:ascii="Times New Roman" w:hAnsi="Times New Roman" w:eastAsia="仿宋_GB2312" w:cs="Times New Roman"/>
          <w:bCs/>
          <w:kern w:val="0"/>
          <w:sz w:val="32"/>
          <w:szCs w:val="32"/>
        </w:rPr>
        <w:t>预算为</w:t>
      </w: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bCs/>
          <w:kern w:val="0"/>
          <w:sz w:val="32"/>
          <w:szCs w:val="32"/>
          <w:lang w:val="en-US" w:eastAsia="zh-CN"/>
        </w:rPr>
        <w:t>000.00</w:t>
      </w:r>
      <w:r>
        <w:rPr>
          <w:rFonts w:ascii="Times New Roman" w:hAnsi="Times New Roman" w:eastAsia="仿宋_GB2312" w:cs="Times New Roman"/>
          <w:bCs/>
          <w:kern w:val="0"/>
          <w:sz w:val="32"/>
          <w:szCs w:val="32"/>
        </w:rPr>
        <w:t>元，</w:t>
      </w:r>
      <w:r>
        <w:rPr>
          <w:rFonts w:ascii="Times New Roman" w:hAnsi="Times New Roman" w:eastAsia="仿宋_GB2312" w:cs="Times New Roman"/>
          <w:kern w:val="0"/>
          <w:sz w:val="32"/>
          <w:szCs w:val="32"/>
        </w:rPr>
        <w:t>支出决算为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与</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2024年</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保持一致，无增减变动。决算数小于预算数的</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主要原因是</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本年无公务接待活动</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决算数与上年数一致的主要原因是本单位近两年无公务接待活动，未产生费用。</w:t>
      </w:r>
      <w:r>
        <w:rPr>
          <w:rFonts w:ascii="Times New Roman" w:hAnsi="Times New Roman" w:eastAsia="仿宋_GB2312" w:cs="Times New Roman"/>
          <w:kern w:val="0"/>
          <w:sz w:val="32"/>
          <w:szCs w:val="32"/>
        </w:rPr>
        <w:t>其中</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国内接待费支出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w:t>
      </w:r>
      <w:r>
        <w:rPr>
          <w:rFonts w:hint="eastAsia" w:ascii="Times New Roman" w:hAnsi="Times New Roman" w:eastAsia="仿宋_GB2312" w:cs="Times New Roman"/>
          <w:color w:val="auto"/>
          <w:sz w:val="32"/>
          <w:szCs w:val="32"/>
          <w:lang w:val="en-US" w:eastAsia="zh-CN"/>
        </w:rPr>
        <w:t>主要是无公务接待活动</w:t>
      </w:r>
      <w:r>
        <w:rPr>
          <w:rFonts w:ascii="Times New Roman" w:hAnsi="Times New Roman" w:eastAsia="仿宋_GB2312" w:cs="Times New Roman"/>
          <w:kern w:val="0"/>
          <w:sz w:val="32"/>
          <w:szCs w:val="32"/>
        </w:rPr>
        <w:t>。国（境）外接待费支出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w:t>
      </w:r>
      <w:r>
        <w:rPr>
          <w:rFonts w:hint="default" w:ascii="Times New Roman" w:hAnsi="Times New Roman" w:eastAsia="仿宋_GB2312" w:cs="Times New Roman"/>
          <w:kern w:val="0"/>
          <w:sz w:val="32"/>
          <w:szCs w:val="32"/>
        </w:rPr>
        <w:t>主要</w:t>
      </w:r>
      <w:r>
        <w:rPr>
          <w:rFonts w:hint="eastAsia" w:ascii="Times New Roman" w:hAnsi="Times New Roman" w:eastAsia="仿宋_GB2312" w:cs="Times New Roman"/>
          <w:kern w:val="0"/>
          <w:sz w:val="32"/>
          <w:szCs w:val="32"/>
          <w:lang w:val="en-US" w:eastAsia="zh-CN"/>
        </w:rPr>
        <w:t>是无国外公务接待活动</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度国内公务接待批次</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个，国内公务接待人次</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人，国（境）外公务接待批次</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个，国（境）外公务接待人次</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人。</w:t>
      </w:r>
    </w:p>
    <w:p>
      <w:pPr>
        <w:keepLines w:val="0"/>
        <w:pageBreakBefore w:val="0"/>
        <w:kinsoku/>
        <w:wordWrap/>
        <w:overflowPunct w:val="0"/>
        <w:topLinePunct w:val="0"/>
        <w:bidi w:val="0"/>
        <w:spacing w:line="560" w:lineRule="exact"/>
        <w:ind w:left="0" w:leftChars="0" w:right="0" w:rightChars="0" w:firstLine="643" w:firstLineChars="200"/>
        <w:jc w:val="both"/>
        <w:textAlignment w:val="auto"/>
        <w:outlineLvl w:val="1"/>
        <w:rPr>
          <w:rFonts w:ascii="Times New Roman" w:hAnsi="Times New Roman" w:eastAsia="楷体_GB2312" w:cs="Times New Roman"/>
          <w:b/>
          <w:bCs/>
          <w:kern w:val="0"/>
          <w:sz w:val="32"/>
          <w:szCs w:val="32"/>
        </w:rPr>
      </w:pPr>
      <w:r>
        <w:rPr>
          <w:rFonts w:ascii="Times New Roman" w:hAnsi="Times New Roman" w:eastAsia="楷体_GB2312" w:cs="Times New Roman"/>
          <w:b/>
          <w:bCs/>
          <w:kern w:val="0"/>
          <w:sz w:val="32"/>
          <w:szCs w:val="32"/>
        </w:rPr>
        <w:t>八、政府性基金预算财政拨款收入支出决算情况说明</w:t>
      </w:r>
    </w:p>
    <w:p>
      <w:pPr>
        <w:pStyle w:val="13"/>
        <w:keepLines w:val="0"/>
        <w:pageBreakBefore w:val="0"/>
        <w:kinsoku/>
        <w:wordWrap/>
        <w:overflowPunct w:val="0"/>
        <w:topLinePunct w:val="0"/>
        <w:bidi w:val="0"/>
        <w:spacing w:line="560" w:lineRule="exact"/>
        <w:ind w:left="0" w:leftChars="0" w:right="0" w:rightChars="0" w:firstLine="640" w:firstLineChars="200"/>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2025年</w:t>
      </w:r>
      <w:r>
        <w:rPr>
          <w:rFonts w:ascii="Times New Roman" w:hAnsi="Times New Roman" w:eastAsia="仿宋_GB2312" w:cs="Times New Roman"/>
          <w:color w:val="auto"/>
          <w:sz w:val="32"/>
          <w:szCs w:val="32"/>
        </w:rPr>
        <w:t>度政府性基金预算财政拨款本年收入</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元，本年支出</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元，年末结转和结余</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w:t>
      </w:r>
      <w:r>
        <w:rPr>
          <w:rFonts w:hint="eastAsia" w:ascii="Times New Roman" w:hAnsi="Times New Roman" w:eastAsia="仿宋_GB2312" w:cs="Times New Roman"/>
          <w:color w:val="auto"/>
          <w:sz w:val="32"/>
          <w:szCs w:val="32"/>
          <w:lang w:eastAsia="zh-CN"/>
        </w:rPr>
        <w:t>与2024年度</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保持一致，无增减变动</w:t>
      </w:r>
      <w:r>
        <w:rPr>
          <w:rFonts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本单位不涉及政府性基金预算财政拨款，无此项支出</w:t>
      </w:r>
      <w:r>
        <w:rPr>
          <w:rFonts w:hint="default" w:ascii="Times New Roman" w:hAnsi="Times New Roman" w:eastAsia="仿宋_GB2312" w:cs="Times New Roman"/>
          <w:color w:val="auto"/>
          <w:sz w:val="32"/>
          <w:szCs w:val="32"/>
          <w:lang w:eastAsia="zh-CN"/>
        </w:rPr>
        <w:t>。</w:t>
      </w:r>
    </w:p>
    <w:p>
      <w:pPr>
        <w:pStyle w:val="13"/>
        <w:keepLines w:val="0"/>
        <w:pageBreakBefore w:val="0"/>
        <w:kinsoku/>
        <w:wordWrap/>
        <w:overflowPunct w:val="0"/>
        <w:topLinePunct w:val="0"/>
        <w:bidi w:val="0"/>
        <w:spacing w:line="560" w:lineRule="exact"/>
        <w:ind w:left="0" w:leftChars="0" w:right="0" w:rightChars="0" w:firstLine="643" w:firstLineChars="200"/>
        <w:jc w:val="both"/>
        <w:textAlignment w:val="auto"/>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九、国有资本经营预算财政拨款支出情况说明</w:t>
      </w:r>
    </w:p>
    <w:p>
      <w:pPr>
        <w:pStyle w:val="13"/>
        <w:keepNext w:val="0"/>
        <w:keepLines w:val="0"/>
        <w:pageBreakBefore w:val="0"/>
        <w:numPr>
          <w:ilvl w:val="0"/>
          <w:numId w:val="0"/>
        </w:numPr>
        <w:kinsoku/>
        <w:wordWrap/>
        <w:overflowPunct/>
        <w:topLinePunct w:val="0"/>
        <w:bidi w:val="0"/>
        <w:snapToGrid/>
        <w:spacing w:line="560" w:lineRule="exact"/>
        <w:ind w:left="0" w:leftChars="0" w:right="0" w:rightChars="0" w:firstLine="640" w:firstLineChars="200"/>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2025年</w:t>
      </w:r>
      <w:r>
        <w:rPr>
          <w:rFonts w:ascii="Times New Roman" w:hAnsi="Times New Roman" w:eastAsia="仿宋_GB2312" w:cs="Times New Roman"/>
          <w:color w:val="auto"/>
          <w:sz w:val="32"/>
          <w:szCs w:val="32"/>
        </w:rPr>
        <w:t>度国有资本经营预算财政拨款本年收入</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元，支出</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元，年末结转和结余</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元。</w:t>
      </w:r>
      <w:r>
        <w:rPr>
          <w:rFonts w:hint="eastAsia" w:ascii="Times New Roman" w:hAnsi="Times New Roman" w:eastAsia="仿宋_GB2312" w:cs="Times New Roman"/>
          <w:color w:val="auto"/>
          <w:sz w:val="32"/>
          <w:szCs w:val="32"/>
          <w:lang w:eastAsia="zh-CN"/>
        </w:rPr>
        <w:t>与2024年度</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保持一致，无增减变动</w:t>
      </w:r>
      <w:r>
        <w:rPr>
          <w:rFonts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本单位不涉及国有资本经营预算财政拨款，无此项支出</w:t>
      </w:r>
      <w:r>
        <w:rPr>
          <w:rFonts w:hint="default" w:ascii="Times New Roman" w:hAnsi="Times New Roman" w:eastAsia="仿宋_GB2312" w:cs="Times New Roman"/>
          <w:color w:val="auto"/>
          <w:sz w:val="32"/>
          <w:szCs w:val="32"/>
          <w:lang w:eastAsia="zh-CN"/>
        </w:rPr>
        <w:t>。</w:t>
      </w:r>
    </w:p>
    <w:p>
      <w:pPr>
        <w:pStyle w:val="5"/>
        <w:keepLines w:val="0"/>
        <w:pageBreakBefore w:val="0"/>
        <w:kinsoku/>
        <w:wordWrap/>
        <w:overflowPunct w:val="0"/>
        <w:topLinePunct w:val="0"/>
        <w:bidi w:val="0"/>
        <w:spacing w:before="0" w:after="0" w:line="560" w:lineRule="exact"/>
        <w:ind w:left="0" w:leftChars="0" w:right="0" w:rightChars="0" w:firstLine="643" w:firstLineChars="200"/>
        <w:jc w:val="both"/>
        <w:textAlignment w:val="auto"/>
        <w:rPr>
          <w:rFonts w:ascii="Times New Roman" w:hAnsi="Times New Roman" w:eastAsia="楷体_GB2312" w:cs="Times New Roman"/>
          <w:bCs/>
          <w:kern w:val="0"/>
          <w:szCs w:val="32"/>
        </w:rPr>
      </w:pPr>
      <w:r>
        <w:rPr>
          <w:rFonts w:ascii="Times New Roman" w:hAnsi="Times New Roman" w:eastAsia="楷体_GB2312" w:cs="Times New Roman"/>
          <w:bCs/>
          <w:kern w:val="0"/>
          <w:szCs w:val="32"/>
        </w:rPr>
        <w:t>十、其他重要事项的情况说明</w:t>
      </w:r>
    </w:p>
    <w:p>
      <w:pPr>
        <w:keepLines w:val="0"/>
        <w:pageBreakBefore w:val="0"/>
        <w:kinsoku/>
        <w:wordWrap/>
        <w:overflowPunct w:val="0"/>
        <w:topLinePunct w:val="0"/>
        <w:bidi w:val="0"/>
        <w:spacing w:line="560" w:lineRule="exact"/>
        <w:ind w:left="0" w:leftChars="0" w:right="0" w:rightChars="0" w:firstLine="643" w:firstLineChars="200"/>
        <w:jc w:val="both"/>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（一）机关运行经费支出情况说明</w:t>
      </w:r>
    </w:p>
    <w:p>
      <w:pPr>
        <w:keepLines w:val="0"/>
        <w:pageBreakBefore w:val="0"/>
        <w:kinsoku/>
        <w:wordWrap/>
        <w:overflowPunct w:val="0"/>
        <w:topLinePunct w:val="0"/>
        <w:bidi w:val="0"/>
        <w:spacing w:line="560" w:lineRule="exact"/>
        <w:ind w:left="0" w:leftChars="0" w:right="0" w:rightChars="0" w:firstLine="640" w:firstLineChars="200"/>
        <w:jc w:val="both"/>
        <w:textAlignment w:val="auto"/>
        <w:outlineLvl w:val="1"/>
        <w:rPr>
          <w:rFonts w:ascii="Times New Roman" w:hAnsi="Times New Roman" w:eastAsia="仿宋_GB2312" w:cs="Times New Roman"/>
          <w:kern w:val="0"/>
          <w:sz w:val="32"/>
          <w:szCs w:val="32"/>
          <w:lang w:val="en-US"/>
        </w:rPr>
      </w:pP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度本部门机关运行经费支出</w:t>
      </w:r>
      <w:r>
        <w:rPr>
          <w:rFonts w:hint="eastAsia" w:ascii="Times New Roman" w:hAnsi="Times New Roman" w:eastAsia="仿宋_GB2312" w:cs="Times New Roman"/>
          <w:kern w:val="0"/>
          <w:sz w:val="32"/>
          <w:szCs w:val="32"/>
        </w:rPr>
        <w:t>9</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960</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00</w:t>
      </w:r>
      <w:r>
        <w:rPr>
          <w:rFonts w:ascii="Times New Roman" w:hAnsi="Times New Roman" w:eastAsia="仿宋_GB2312" w:cs="Times New Roman"/>
          <w:kern w:val="0"/>
          <w:sz w:val="32"/>
          <w:szCs w:val="32"/>
        </w:rPr>
        <w:t>元</w:t>
      </w:r>
      <w:r>
        <w:rPr>
          <w:rFonts w:ascii="Times New Roman" w:hAnsi="Times New Roman" w:eastAsia="仿宋_GB2312" w:cs="Times New Roman"/>
          <w:color w:val="000000"/>
          <w:sz w:val="30"/>
        </w:rPr>
        <w:t>，</w:t>
      </w:r>
      <w:r>
        <w:rPr>
          <w:rFonts w:ascii="Times New Roman" w:hAnsi="Times New Roman" w:eastAsia="仿宋_GB2312" w:cs="Times New Roman"/>
          <w:kern w:val="0"/>
          <w:sz w:val="32"/>
          <w:szCs w:val="32"/>
        </w:rPr>
        <w:t>比</w:t>
      </w:r>
      <w:r>
        <w:rPr>
          <w:rFonts w:hint="eastAsia" w:ascii="Times New Roman" w:hAnsi="Times New Roman" w:eastAsia="仿宋_GB2312" w:cs="Times New Roman"/>
          <w:kern w:val="0"/>
          <w:sz w:val="32"/>
          <w:szCs w:val="32"/>
          <w:lang w:eastAsia="zh-CN"/>
        </w:rPr>
        <w:t>2024年</w:t>
      </w:r>
      <w:r>
        <w:rPr>
          <w:rFonts w:ascii="Times New Roman" w:hAnsi="Times New Roman" w:eastAsia="仿宋_GB2312" w:cs="Times New Roman"/>
          <w:kern w:val="0"/>
          <w:sz w:val="32"/>
          <w:szCs w:val="32"/>
        </w:rPr>
        <w:t>度</w:t>
      </w:r>
      <w:r>
        <w:rPr>
          <w:rFonts w:hint="eastAsia" w:ascii="Times New Roman" w:hAnsi="Times New Roman" w:eastAsia="仿宋_GB2312" w:cs="Times New Roman"/>
          <w:kern w:val="0"/>
          <w:sz w:val="32"/>
          <w:szCs w:val="32"/>
          <w:lang w:val="en-US" w:eastAsia="zh-CN"/>
        </w:rPr>
        <w:t>减少1</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602.35</w:t>
      </w:r>
      <w:r>
        <w:rPr>
          <w:rFonts w:ascii="Times New Roman" w:hAnsi="Times New Roman" w:eastAsia="仿宋_GB2312" w:cs="Times New Roman"/>
          <w:kern w:val="0"/>
          <w:sz w:val="32"/>
          <w:szCs w:val="32"/>
        </w:rPr>
        <w:t>元，</w:t>
      </w:r>
      <w:r>
        <w:rPr>
          <w:rFonts w:hint="eastAsia" w:ascii="Times New Roman" w:hAnsi="Times New Roman" w:eastAsia="仿宋_GB2312" w:cs="Times New Roman"/>
          <w:kern w:val="0"/>
          <w:sz w:val="32"/>
          <w:szCs w:val="32"/>
          <w:lang w:val="en-US" w:eastAsia="zh-CN"/>
        </w:rPr>
        <w:t>下降1.71</w:t>
      </w:r>
      <w:r>
        <w:rPr>
          <w:rFonts w:ascii="Times New Roman" w:hAnsi="Times New Roman" w:eastAsia="仿宋_GB2312" w:cs="Times New Roman"/>
          <w:kern w:val="0"/>
          <w:sz w:val="32"/>
          <w:szCs w:val="32"/>
        </w:rPr>
        <w:t>%。主要原因是</w:t>
      </w:r>
      <w:r>
        <w:rPr>
          <w:rFonts w:hint="eastAsia" w:ascii="Times New Roman" w:hAnsi="Times New Roman" w:eastAsia="仿宋_GB2312" w:cs="Times New Roman"/>
          <w:kern w:val="0"/>
          <w:sz w:val="32"/>
          <w:szCs w:val="32"/>
          <w:lang w:val="en-US" w:eastAsia="zh-CN"/>
        </w:rPr>
        <w:t>贯彻落实过紧日子要求，压减一般性支出。</w:t>
      </w:r>
    </w:p>
    <w:p>
      <w:pPr>
        <w:keepLines w:val="0"/>
        <w:pageBreakBefore w:val="0"/>
        <w:kinsoku/>
        <w:wordWrap/>
        <w:overflowPunct w:val="0"/>
        <w:topLinePunct w:val="0"/>
        <w:bidi w:val="0"/>
        <w:spacing w:line="560" w:lineRule="exact"/>
        <w:ind w:left="0" w:leftChars="0" w:right="0" w:rightChars="0" w:firstLine="643" w:firstLineChars="200"/>
        <w:jc w:val="both"/>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（二）政府采购情况说明</w:t>
      </w:r>
    </w:p>
    <w:p>
      <w:pPr>
        <w:keepNext w:val="0"/>
        <w:keepLines w:val="0"/>
        <w:pageBreakBefore w:val="0"/>
        <w:widowControl/>
        <w:kinsoku/>
        <w:wordWrap/>
        <w:overflowPunct/>
        <w:topLinePunct w:val="0"/>
        <w:bidi w:val="0"/>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kern w:val="0"/>
          <w:sz w:val="32"/>
          <w:szCs w:val="32"/>
          <w:lang w:eastAsia="zh-CN"/>
        </w:rPr>
        <w:t>2025年度</w:t>
      </w:r>
      <w:r>
        <w:rPr>
          <w:rFonts w:ascii="Times New Roman" w:hAnsi="Times New Roman" w:eastAsia="仿宋_GB2312" w:cs="Times New Roman"/>
          <w:kern w:val="0"/>
          <w:sz w:val="32"/>
          <w:szCs w:val="32"/>
        </w:rPr>
        <w:t>本部门政府采购支出总额</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元。其中：政府采购货物支出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元、政府采购工程支出</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元、政府采购服务</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元。授予中小企业合同金额</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元，占政府采购支出总额的</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%，其中：授予小微企业合同金额</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元，占</w:t>
      </w:r>
      <w:r>
        <w:rPr>
          <w:rFonts w:hint="eastAsia" w:ascii="Times New Roman" w:hAnsi="Times New Roman" w:eastAsia="仿宋_GB2312" w:cs="Times New Roman"/>
          <w:kern w:val="0"/>
          <w:sz w:val="32"/>
          <w:szCs w:val="32"/>
          <w:lang w:eastAsia="zh-CN"/>
        </w:rPr>
        <w:t>授予中小企业合同金额的</w:t>
      </w:r>
      <w:r>
        <w:rPr>
          <w:rFonts w:hint="eastAsia" w:ascii="Times New Roman" w:hAnsi="Times New Roman" w:eastAsia="仿宋_GB2312" w:cs="Times New Roman"/>
          <w:kern w:val="0"/>
          <w:sz w:val="32"/>
          <w:szCs w:val="32"/>
          <w:lang w:val="en-US" w:eastAsia="zh-CN"/>
        </w:rPr>
        <w:t>0.00%，</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货物采购授予中小企业合同金额占货物支出金额的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0.00</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，工程采购授予中小企业合同金额占工程支出金额的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0.00</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，服务采购授予中小企业合同金额占服务支出金额的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0.00</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p>
    <w:p>
      <w:pPr>
        <w:keepLines w:val="0"/>
        <w:pageBreakBefore w:val="0"/>
        <w:kinsoku/>
        <w:wordWrap/>
        <w:overflowPunct w:val="0"/>
        <w:topLinePunct w:val="0"/>
        <w:bidi w:val="0"/>
        <w:spacing w:line="560" w:lineRule="exact"/>
        <w:ind w:left="0" w:leftChars="0" w:right="0" w:rightChars="0" w:firstLine="643" w:firstLineChars="200"/>
        <w:jc w:val="both"/>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（三）国有资产占有使用情况说明</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jc w:val="both"/>
        <w:textAlignment w:val="auto"/>
        <w:rPr>
          <w:rFonts w:hint="default" w:ascii="Times New Roman" w:hAnsi="Times New Roman" w:eastAsia="仿宋_GB2312" w:cs="Times New Roman"/>
          <w:kern w:val="0"/>
          <w:sz w:val="32"/>
          <w:szCs w:val="32"/>
        </w:rPr>
      </w:pPr>
      <w:r>
        <w:rPr>
          <w:rFonts w:ascii="Times New Roman" w:hAnsi="Times New Roman" w:eastAsia="仿宋_GB2312" w:cs="Times New Roman"/>
          <w:kern w:val="0"/>
          <w:sz w:val="32"/>
          <w:szCs w:val="32"/>
        </w:rPr>
        <w:t>截至</w:t>
      </w:r>
      <w:r>
        <w:rPr>
          <w:rFonts w:hint="eastAsia" w:ascii="Times New Roman" w:hAnsi="Times New Roman" w:eastAsia="仿宋_GB2312" w:cs="Times New Roman"/>
          <w:kern w:val="0"/>
          <w:sz w:val="32"/>
          <w:szCs w:val="32"/>
          <w:lang w:eastAsia="zh-CN"/>
        </w:rPr>
        <w:t>2025年</w:t>
      </w:r>
      <w:r>
        <w:rPr>
          <w:rFonts w:ascii="Times New Roman" w:hAnsi="Times New Roman" w:eastAsia="仿宋_GB2312" w:cs="Times New Roman"/>
          <w:kern w:val="0"/>
          <w:sz w:val="32"/>
          <w:szCs w:val="32"/>
        </w:rPr>
        <w:t>12月31日，</w:t>
      </w:r>
      <w:r>
        <w:rPr>
          <w:rFonts w:hint="default" w:ascii="Times New Roman" w:hAnsi="Times New Roman" w:eastAsia="仿宋_GB2312" w:cs="Times New Roman"/>
          <w:color w:val="auto"/>
          <w:kern w:val="0"/>
          <w:sz w:val="32"/>
          <w:szCs w:val="32"/>
        </w:rPr>
        <w:t>本部门</w:t>
      </w:r>
      <w:r>
        <w:rPr>
          <w:rFonts w:hint="eastAsia" w:ascii="Times New Roman" w:hAnsi="Times New Roman" w:eastAsia="仿宋_GB2312" w:cs="Times New Roman"/>
          <w:color w:val="auto"/>
          <w:kern w:val="0"/>
          <w:sz w:val="32"/>
          <w:szCs w:val="32"/>
          <w:lang w:val="en-US" w:eastAsia="zh-CN"/>
        </w:rPr>
        <w:t>使用中卫</w:t>
      </w:r>
      <w:r>
        <w:rPr>
          <w:rFonts w:hint="default" w:ascii="Times New Roman" w:hAnsi="Times New Roman" w:eastAsia="仿宋_GB2312" w:cs="Times New Roman"/>
          <w:color w:val="auto"/>
          <w:kern w:val="0"/>
          <w:sz w:val="32"/>
          <w:szCs w:val="32"/>
        </w:rPr>
        <w:t>市机关事务</w:t>
      </w:r>
      <w:r>
        <w:rPr>
          <w:rFonts w:hint="eastAsia" w:ascii="Times New Roman" w:hAnsi="Times New Roman" w:eastAsia="仿宋_GB2312" w:cs="Times New Roman"/>
          <w:color w:val="auto"/>
          <w:kern w:val="0"/>
          <w:sz w:val="32"/>
          <w:szCs w:val="32"/>
          <w:lang w:val="en-US" w:eastAsia="zh-CN"/>
        </w:rPr>
        <w:t>服务</w:t>
      </w:r>
      <w:r>
        <w:rPr>
          <w:rFonts w:hint="default" w:ascii="Times New Roman" w:hAnsi="Times New Roman" w:eastAsia="仿宋_GB2312" w:cs="Times New Roman"/>
          <w:color w:val="auto"/>
          <w:kern w:val="0"/>
          <w:sz w:val="32"/>
          <w:szCs w:val="32"/>
        </w:rPr>
        <w:t>中心房屋面积</w:t>
      </w:r>
      <w:r>
        <w:rPr>
          <w:rFonts w:hint="eastAsia" w:ascii="Times New Roman" w:hAnsi="Times New Roman" w:eastAsia="仿宋_GB2312" w:cs="Times New Roman"/>
          <w:color w:val="auto"/>
          <w:kern w:val="0"/>
          <w:sz w:val="32"/>
          <w:szCs w:val="32"/>
          <w:lang w:val="en-US" w:eastAsia="zh-CN"/>
        </w:rPr>
        <w:t>107.04</w:t>
      </w:r>
      <w:r>
        <w:rPr>
          <w:rFonts w:hint="default" w:ascii="Times New Roman" w:hAnsi="Times New Roman" w:eastAsia="仿宋_GB2312" w:cs="Times New Roman"/>
          <w:color w:val="auto"/>
          <w:kern w:val="0"/>
          <w:sz w:val="32"/>
          <w:szCs w:val="32"/>
        </w:rPr>
        <w:t>平方米，共有车辆</w:t>
      </w:r>
      <w:r>
        <w:rPr>
          <w:rFonts w:hint="eastAsia" w:ascii="Times New Roman" w:hAnsi="Times New Roman" w:eastAsia="仿宋_GB2312" w:cs="Times New Roman"/>
          <w:color w:val="auto"/>
          <w:kern w:val="0"/>
          <w:sz w:val="32"/>
          <w:szCs w:val="32"/>
          <w:lang w:val="en-US" w:eastAsia="zh-CN"/>
        </w:rPr>
        <w:t>0</w:t>
      </w:r>
      <w:r>
        <w:rPr>
          <w:rFonts w:hint="default" w:ascii="Times New Roman" w:hAnsi="Times New Roman" w:eastAsia="仿宋_GB2312" w:cs="Times New Roman"/>
          <w:color w:val="auto"/>
          <w:kern w:val="0"/>
          <w:sz w:val="32"/>
          <w:szCs w:val="32"/>
        </w:rPr>
        <w:t>辆，其中：领导干部用车</w:t>
      </w:r>
      <w:r>
        <w:rPr>
          <w:rFonts w:hint="eastAsia" w:ascii="Times New Roman" w:hAnsi="Times New Roman" w:eastAsia="仿宋_GB2312" w:cs="Times New Roman"/>
          <w:color w:val="auto"/>
          <w:kern w:val="0"/>
          <w:sz w:val="32"/>
          <w:szCs w:val="32"/>
          <w:lang w:val="en-US" w:eastAsia="zh-CN"/>
        </w:rPr>
        <w:t>0</w:t>
      </w:r>
      <w:r>
        <w:rPr>
          <w:rFonts w:hint="default" w:ascii="Times New Roman" w:hAnsi="Times New Roman" w:eastAsia="仿宋_GB2312" w:cs="Times New Roman"/>
          <w:color w:val="auto"/>
          <w:kern w:val="0"/>
          <w:sz w:val="32"/>
          <w:szCs w:val="32"/>
        </w:rPr>
        <w:t>辆、</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机要通信用车</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、应急保障用车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、执法执勤用车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、特种专业技术用车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、离退休干部用车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、其他用车</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14:textFill>
            <w14:solidFill>
              <w14:schemeClr w14:val="tx1"/>
            </w14:solidFill>
          </w14:textFill>
        </w:rPr>
        <w:t>辆；</w:t>
      </w:r>
      <w:r>
        <w:rPr>
          <w:rFonts w:hint="default" w:ascii="Times New Roman" w:hAnsi="Times New Roman" w:eastAsia="仿宋_GB2312" w:cs="Times New Roman"/>
          <w:kern w:val="0"/>
          <w:sz w:val="32"/>
          <w:szCs w:val="32"/>
        </w:rPr>
        <w:t>单价100万元以上专用设备</w:t>
      </w:r>
      <w:r>
        <w:rPr>
          <w:rFonts w:hint="eastAsia"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keepLines w:val="0"/>
        <w:pageBreakBefore w:val="0"/>
        <w:kinsoku/>
        <w:wordWrap/>
        <w:overflowPunct w:val="0"/>
        <w:topLinePunct w:val="0"/>
        <w:bidi w:val="0"/>
        <w:spacing w:line="560" w:lineRule="exact"/>
        <w:ind w:left="0" w:leftChars="0" w:right="0" w:rightChars="0" w:firstLine="643" w:firstLineChars="200"/>
        <w:jc w:val="both"/>
        <w:textAlignment w:val="auto"/>
        <w:rPr>
          <w:rFonts w:ascii="仿宋_GB2312" w:hAnsi="仿宋_GB2312" w:eastAsia="仿宋_GB2312" w:cs="仿宋_GB2312"/>
          <w:b/>
          <w:kern w:val="0"/>
          <w:sz w:val="32"/>
          <w:szCs w:val="32"/>
        </w:rPr>
      </w:pPr>
      <w:r>
        <w:rPr>
          <w:rFonts w:ascii="仿宋_GB2312" w:hAnsi="仿宋_GB2312" w:eastAsia="仿宋_GB2312" w:cs="仿宋_GB2312"/>
          <w:b/>
          <w:kern w:val="0"/>
          <w:sz w:val="32"/>
          <w:szCs w:val="32"/>
        </w:rPr>
        <w:t>（四）预算绩效管理工作开展情况说明</w:t>
      </w:r>
    </w:p>
    <w:p>
      <w:pPr>
        <w:keepNext w:val="0"/>
        <w:keepLines w:val="0"/>
        <w:pageBreakBefore w:val="0"/>
        <w:widowControl/>
        <w:kinsoku/>
        <w:wordWrap/>
        <w:overflowPunct w:val="0"/>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kern w:val="0"/>
          <w:sz w:val="32"/>
          <w:szCs w:val="32"/>
        </w:rPr>
        <w:t>1.绩效管理工作开展情况。</w:t>
      </w:r>
      <w:r>
        <w:rPr>
          <w:rFonts w:hint="default" w:ascii="Times New Roman" w:hAnsi="Times New Roman" w:eastAsia="仿宋_GB2312" w:cs="Times New Roman"/>
          <w:color w:val="auto"/>
          <w:kern w:val="0"/>
          <w:sz w:val="32"/>
          <w:szCs w:val="32"/>
        </w:rPr>
        <w:t>根据预算</w:t>
      </w:r>
      <w:r>
        <w:rPr>
          <w:rFonts w:hint="default" w:ascii="Times New Roman" w:hAnsi="Times New Roman" w:eastAsia="仿宋_GB2312" w:cs="Times New Roman"/>
          <w:color w:val="auto"/>
          <w:kern w:val="0"/>
          <w:sz w:val="32"/>
          <w:szCs w:val="32"/>
          <w:lang w:eastAsia="zh-CN"/>
        </w:rPr>
        <w:t>绩效</w:t>
      </w:r>
      <w:r>
        <w:rPr>
          <w:rFonts w:hint="default" w:ascii="Times New Roman" w:hAnsi="Times New Roman" w:eastAsia="仿宋_GB2312" w:cs="Times New Roman"/>
          <w:color w:val="auto"/>
          <w:kern w:val="0"/>
          <w:sz w:val="32"/>
          <w:szCs w:val="32"/>
        </w:rPr>
        <w:t>管理要求，</w:t>
      </w:r>
      <w:r>
        <w:rPr>
          <w:rFonts w:hint="eastAsia" w:ascii="Times New Roman" w:hAnsi="Times New Roman" w:eastAsia="仿宋_GB2312" w:cs="Times New Roman"/>
          <w:color w:val="auto"/>
          <w:kern w:val="0"/>
          <w:sz w:val="32"/>
          <w:szCs w:val="32"/>
          <w:lang w:eastAsia="zh-CN"/>
        </w:rPr>
        <w:t>中卫市红十字会</w:t>
      </w:r>
      <w:r>
        <w:rPr>
          <w:rFonts w:hint="default" w:ascii="Times New Roman" w:hAnsi="Times New Roman" w:eastAsia="仿宋_GB2312" w:cs="Times New Roman"/>
          <w:color w:val="auto"/>
          <w:kern w:val="0"/>
          <w:sz w:val="32"/>
          <w:szCs w:val="32"/>
        </w:rPr>
        <w:t>组织对</w:t>
      </w:r>
      <w:r>
        <w:rPr>
          <w:rFonts w:hint="eastAsia" w:ascii="Times New Roman" w:hAnsi="Times New Roman" w:eastAsia="仿宋_GB2312" w:cs="Times New Roman"/>
          <w:kern w:val="0"/>
          <w:sz w:val="32"/>
          <w:szCs w:val="32"/>
          <w:lang w:eastAsia="zh-CN"/>
        </w:rPr>
        <w:t>2025年度</w:t>
      </w:r>
      <w:r>
        <w:rPr>
          <w:rFonts w:ascii="Times New Roman" w:hAnsi="Times New Roman" w:eastAsia="仿宋_GB2312" w:cs="Times New Roman"/>
          <w:kern w:val="0"/>
          <w:sz w:val="32"/>
          <w:szCs w:val="32"/>
        </w:rPr>
        <w:t>项目支出开展绩效自评。其中，一般公共预算项目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包含</w:t>
      </w:r>
      <w:r>
        <w:rPr>
          <w:rFonts w:hint="default" w:ascii="Times New Roman" w:hAnsi="Times New Roman" w:eastAsia="仿宋_GB2312" w:cs="Times New Roman"/>
          <w:color w:val="000000" w:themeColor="text1"/>
          <w:kern w:val="0"/>
          <w:sz w:val="32"/>
          <w:szCs w:val="32"/>
          <w14:textFill>
            <w14:solidFill>
              <w14:schemeClr w14:val="tx1"/>
            </w14:solidFill>
          </w14:textFill>
        </w:rPr>
        <w:t>一级项目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32"/>
          <w:szCs w:val="32"/>
          <w14:textFill>
            <w14:solidFill>
              <w14:schemeClr w14:val="tx1"/>
            </w14:solidFill>
          </w14:textFill>
        </w:rPr>
        <w:t>个，</w:t>
      </w:r>
      <w:r>
        <w:rPr>
          <w:rFonts w:ascii="Times New Roman" w:hAnsi="Times New Roman" w:eastAsia="仿宋_GB2312" w:cs="Times New Roman"/>
          <w:kern w:val="0"/>
          <w:sz w:val="32"/>
          <w:szCs w:val="32"/>
        </w:rPr>
        <w:t>二级项目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200,000.00</w:t>
      </w:r>
      <w:r>
        <w:rPr>
          <w:rFonts w:ascii="Times New Roman" w:hAnsi="Times New Roman" w:eastAsia="仿宋_GB2312" w:cs="Times New Roman"/>
          <w:kern w:val="0"/>
          <w:sz w:val="32"/>
          <w:szCs w:val="32"/>
        </w:rPr>
        <w:t>元，占一般公共预算项目支出总额的</w:t>
      </w:r>
      <w:r>
        <w:rPr>
          <w:rFonts w:hint="eastAsia" w:ascii="Times New Roman" w:hAnsi="Times New Roman" w:eastAsia="仿宋_GB2312" w:cs="Times New Roman"/>
          <w:kern w:val="0"/>
          <w:sz w:val="32"/>
          <w:szCs w:val="32"/>
          <w:lang w:val="en-US" w:eastAsia="zh-CN"/>
        </w:rPr>
        <w:t>43.10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个，涉及资金</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万元，占政府性基金项目支出总额的</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2025年</w:t>
      </w:r>
      <w:r>
        <w:rPr>
          <w:rFonts w:hint="default" w:ascii="Times New Roman" w:hAnsi="Times New Roman" w:eastAsia="仿宋_GB2312" w:cs="Times New Roman"/>
          <w:kern w:val="0"/>
          <w:sz w:val="32"/>
          <w:szCs w:val="32"/>
          <w:lang w:val="en-US" w:eastAsia="zh-CN"/>
        </w:rPr>
        <w:t>我</w:t>
      </w:r>
      <w:r>
        <w:rPr>
          <w:rFonts w:hint="eastAsia" w:ascii="Times New Roman" w:hAnsi="Times New Roman" w:eastAsia="仿宋_GB2312" w:cs="Times New Roman"/>
          <w:kern w:val="0"/>
          <w:sz w:val="32"/>
          <w:szCs w:val="32"/>
          <w:lang w:val="en-US" w:eastAsia="zh-CN"/>
        </w:rPr>
        <w:t>会</w:t>
      </w:r>
      <w:r>
        <w:rPr>
          <w:rFonts w:hint="default" w:ascii="Times New Roman" w:hAnsi="Times New Roman" w:eastAsia="仿宋_GB2312" w:cs="Times New Roman"/>
          <w:kern w:val="0"/>
          <w:sz w:val="32"/>
          <w:szCs w:val="32"/>
          <w:lang w:val="en-US" w:eastAsia="zh-CN"/>
        </w:rPr>
        <w:t>坚持“围绕中心、服务大局、突出重点、依章办事”的原则，根据国家及财政预算绩效目标管理的相关规定，我</w:t>
      </w:r>
      <w:r>
        <w:rPr>
          <w:rFonts w:hint="eastAsia" w:ascii="Times New Roman" w:hAnsi="Times New Roman" w:eastAsia="仿宋_GB2312" w:cs="Times New Roman"/>
          <w:kern w:val="0"/>
          <w:sz w:val="32"/>
          <w:szCs w:val="32"/>
          <w:lang w:val="en-US" w:eastAsia="zh-CN"/>
        </w:rPr>
        <w:t>会</w:t>
      </w:r>
      <w:r>
        <w:rPr>
          <w:rFonts w:hint="default" w:ascii="Times New Roman" w:hAnsi="Times New Roman" w:eastAsia="仿宋_GB2312" w:cs="Times New Roman"/>
          <w:kern w:val="0"/>
          <w:sz w:val="32"/>
          <w:szCs w:val="32"/>
          <w:lang w:val="en-US" w:eastAsia="zh-CN"/>
        </w:rPr>
        <w:t>从产出指标、效益指标、满意度指标等方面进行评价，能够达到项目的预期目标。依据相关专项资金管理办法和现行财务制度，按照部门支出绩效评价指标体系要求，列出了支出绩效评价的项目清单，从预算编制、预算执行、支出绩效三个方面，分别对每个项目进行绩效评价，为下一步做好项目绩效跟踪管理、切实提高财政资金使用效益奠定了基础。</w:t>
      </w:r>
    </w:p>
    <w:p>
      <w:pPr>
        <w:pStyle w:val="9"/>
        <w:keepNext w:val="0"/>
        <w:keepLines w:val="0"/>
        <w:pageBreakBefore w:val="0"/>
        <w:numPr>
          <w:ilvl w:val="0"/>
          <w:numId w:val="0"/>
        </w:numPr>
        <w:kinsoku/>
        <w:wordWrap/>
        <w:overflowPunct/>
        <w:topLinePunct w:val="0"/>
        <w:autoSpaceDE/>
        <w:autoSpaceDN/>
        <w:bidi w:val="0"/>
        <w:adjustRightInd/>
        <w:spacing w:before="0" w:beforeAutospacing="0" w:after="0" w:afterAutospacing="0" w:line="560" w:lineRule="exact"/>
        <w:ind w:left="0" w:leftChars="0" w:right="0" w:rightChars="0" w:firstLine="622" w:firstLineChars="200"/>
        <w:jc w:val="both"/>
        <w:textAlignment w:val="auto"/>
        <w:rPr>
          <w:rFonts w:ascii="Times New Roman" w:hAnsi="Times New Roman" w:eastAsia="仿宋" w:cs="Times New Roman"/>
          <w:color w:val="000000"/>
          <w:kern w:val="0"/>
          <w:sz w:val="31"/>
          <w:szCs w:val="31"/>
          <w:lang w:bidi="ar"/>
        </w:rPr>
      </w:pPr>
      <w:r>
        <w:rPr>
          <w:rFonts w:hint="default" w:ascii="Times New Roman" w:hAnsi="Times New Roman" w:eastAsia="仿宋" w:cs="Times New Roman"/>
          <w:b/>
          <w:color w:val="000000"/>
          <w:kern w:val="0"/>
          <w:sz w:val="31"/>
          <w:szCs w:val="31"/>
          <w:lang w:val="en-US" w:eastAsia="zh-CN" w:bidi="ar"/>
        </w:rPr>
        <w:t>2.项目绩效自评结果。</w:t>
      </w:r>
      <w:r>
        <w:rPr>
          <w:rFonts w:hint="default" w:ascii="Times New Roman" w:hAnsi="Times New Roman" w:eastAsia="仿宋_GB2312" w:cs="Times New Roman"/>
          <w:kern w:val="0"/>
          <w:sz w:val="32"/>
          <w:szCs w:val="32"/>
        </w:rPr>
        <w:t>根据年初设定的绩效目标，“</w:t>
      </w:r>
      <w:r>
        <w:rPr>
          <w:rFonts w:hint="eastAsia" w:ascii="Times New Roman" w:hAnsi="Times New Roman" w:eastAsia="仿宋_GB2312" w:cs="Times New Roman"/>
          <w:kern w:val="0"/>
          <w:sz w:val="32"/>
          <w:szCs w:val="32"/>
          <w:lang w:val="en-US" w:eastAsia="zh-CN"/>
        </w:rPr>
        <w:t>红十字会工作经费</w:t>
      </w:r>
      <w:r>
        <w:rPr>
          <w:rFonts w:hint="default" w:ascii="Times New Roman" w:hAnsi="Times New Roman" w:eastAsia="仿宋_GB2312" w:cs="Times New Roman"/>
          <w:kern w:val="0"/>
          <w:sz w:val="32"/>
          <w:szCs w:val="32"/>
        </w:rPr>
        <w:t>”项目自评得分为</w:t>
      </w:r>
      <w:r>
        <w:rPr>
          <w:rFonts w:hint="eastAsia"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分</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bidi="ar-SA"/>
        </w:rPr>
        <w:t>项目全年预算数为</w:t>
      </w:r>
      <w:r>
        <w:rPr>
          <w:rFonts w:hint="eastAsia" w:ascii="Times New Roman" w:hAnsi="Times New Roman" w:eastAsia="仿宋_GB2312" w:cs="Times New Roman"/>
          <w:kern w:val="0"/>
          <w:sz w:val="32"/>
          <w:szCs w:val="32"/>
          <w:lang w:val="en-US" w:eastAsia="zh-CN" w:bidi="ar-SA"/>
        </w:rPr>
        <w:t>200,000.00</w:t>
      </w:r>
      <w:r>
        <w:rPr>
          <w:rFonts w:hint="default" w:ascii="Times New Roman" w:hAnsi="Times New Roman" w:eastAsia="仿宋_GB2312" w:cs="Times New Roman"/>
          <w:kern w:val="0"/>
          <w:sz w:val="32"/>
          <w:szCs w:val="32"/>
          <w:lang w:val="en-US" w:eastAsia="zh-CN" w:bidi="ar-SA"/>
        </w:rPr>
        <w:t>元，执行数为</w:t>
      </w:r>
      <w:r>
        <w:rPr>
          <w:rFonts w:hint="eastAsia" w:ascii="Times New Roman" w:hAnsi="Times New Roman" w:eastAsia="仿宋_GB2312" w:cs="Times New Roman"/>
          <w:kern w:val="0"/>
          <w:sz w:val="32"/>
          <w:szCs w:val="32"/>
          <w:lang w:val="en-US" w:eastAsia="zh-CN" w:bidi="ar-SA"/>
        </w:rPr>
        <w:t>200,000.00</w:t>
      </w:r>
      <w:r>
        <w:rPr>
          <w:rFonts w:hint="default" w:ascii="Times New Roman" w:hAnsi="Times New Roman" w:eastAsia="仿宋_GB2312" w:cs="Times New Roman"/>
          <w:kern w:val="0"/>
          <w:sz w:val="32"/>
          <w:szCs w:val="32"/>
          <w:lang w:val="en-US" w:eastAsia="zh-CN" w:bidi="ar-SA"/>
        </w:rPr>
        <w:t>元，完成预算的</w:t>
      </w:r>
      <w:r>
        <w:rPr>
          <w:rFonts w:hint="eastAsia" w:ascii="Times New Roman" w:hAnsi="Times New Roman" w:eastAsia="仿宋_GB2312" w:cs="Times New Roman"/>
          <w:kern w:val="0"/>
          <w:sz w:val="32"/>
          <w:szCs w:val="32"/>
          <w:lang w:val="en-US" w:eastAsia="zh-CN" w:bidi="ar-SA"/>
        </w:rPr>
        <w:t>100.00</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w:t>
      </w:r>
      <w:r>
        <w:rPr>
          <w:rFonts w:ascii="Times New Roman" w:hAnsi="Times New Roman" w:eastAsia="仿宋_GB2312" w:cs="Times New Roman"/>
          <w:kern w:val="0"/>
          <w:sz w:val="32"/>
          <w:szCs w:val="32"/>
        </w:rPr>
        <w:t>（附</w:t>
      </w:r>
      <w:r>
        <w:rPr>
          <w:rFonts w:ascii="Times New Roman" w:hAnsi="Times New Roman" w:eastAsia="仿宋" w:cs="Times New Roman"/>
          <w:color w:val="000000"/>
          <w:kern w:val="0"/>
          <w:sz w:val="31"/>
          <w:szCs w:val="31"/>
          <w:lang w:bidi="ar"/>
        </w:rPr>
        <w:t>《</w:t>
      </w:r>
      <w:r>
        <w:rPr>
          <w:rFonts w:hint="eastAsia" w:ascii="Times New Roman" w:hAnsi="Times New Roman" w:eastAsia="仿宋" w:cs="Times New Roman"/>
          <w:color w:val="000000"/>
          <w:kern w:val="0"/>
          <w:sz w:val="31"/>
          <w:szCs w:val="31"/>
          <w:lang w:val="en-US" w:eastAsia="zh-CN" w:bidi="ar"/>
        </w:rPr>
        <w:t>2025年度</w:t>
      </w:r>
      <w:r>
        <w:rPr>
          <w:rFonts w:ascii="Times New Roman" w:hAnsi="Times New Roman" w:eastAsia="仿宋" w:cs="Times New Roman"/>
          <w:color w:val="000000"/>
          <w:kern w:val="0"/>
          <w:sz w:val="31"/>
          <w:szCs w:val="31"/>
          <w:lang w:bidi="ar"/>
        </w:rPr>
        <w:t>项目支出绩效自评表》）</w:t>
      </w:r>
    </w:p>
    <w:p>
      <w:pPr>
        <w:keepLines w:val="0"/>
        <w:pageBreakBefore w:val="0"/>
        <w:kinsoku/>
        <w:wordWrap/>
        <w:topLinePunct w:val="0"/>
        <w:bidi w:val="0"/>
        <w:spacing w:line="560" w:lineRule="exact"/>
        <w:ind w:left="0" w:leftChars="0" w:right="0" w:rightChars="0" w:firstLine="176" w:firstLineChars="49"/>
        <w:jc w:val="center"/>
        <w:textAlignment w:val="auto"/>
        <w:outlineLvl w:val="1"/>
        <w:rPr>
          <w:rFonts w:ascii="Times New Roman" w:hAnsi="Times New Roman" w:eastAsia="黑体" w:cs="Times New Roman"/>
          <w:kern w:val="0"/>
          <w:sz w:val="36"/>
          <w:szCs w:val="36"/>
        </w:rPr>
      </w:pPr>
    </w:p>
    <w:p>
      <w:pPr>
        <w:keepLines w:val="0"/>
        <w:pageBreakBefore w:val="0"/>
        <w:kinsoku/>
        <w:wordWrap/>
        <w:topLinePunct w:val="0"/>
        <w:bidi w:val="0"/>
        <w:spacing w:line="560" w:lineRule="exact"/>
        <w:ind w:left="0" w:leftChars="0" w:right="0" w:rightChars="0" w:firstLine="176" w:firstLineChars="49"/>
        <w:jc w:val="center"/>
        <w:textAlignment w:val="auto"/>
        <w:outlineLvl w:val="1"/>
        <w:rPr>
          <w:rFonts w:ascii="Times New Roman" w:hAnsi="Times New Roman" w:eastAsia="黑体" w:cs="Times New Roman"/>
          <w:kern w:val="0"/>
          <w:sz w:val="36"/>
          <w:szCs w:val="36"/>
        </w:rPr>
      </w:pPr>
      <w:r>
        <w:rPr>
          <w:rFonts w:ascii="Times New Roman" w:hAnsi="Times New Roman" w:eastAsia="黑体" w:cs="Times New Roman"/>
          <w:kern w:val="0"/>
          <w:sz w:val="36"/>
          <w:szCs w:val="36"/>
        </w:rPr>
        <w:t>第四部分  名词解释</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财政拨款预算收入：本级财政部门当年拨付的财政预算资金，包括一般公共预算财政拨款和政府性基金预算财 政拨款。</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上年结转：指以前年度尚未完成、结转到本年仍按原规定用途继续使用的资金。</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年末结转和结余：指本年度或以前年度预算安排、因客观条件发生变化无法按原计划实施，需要延迟到以后年度按有关规定继续使用的资金。</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基本支出：指预算单位为保障机构正常运转、完成日常工作任务而发生的人员支出和公用支出。</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 xml:space="preserve">项目支出：是预算单位为完成其特定的行政工作任务或事业发展目标所发生的支出。 </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社会保障和就业支出（类）行政事业单位养老支出（款）行政单位离退休（项）：指行政单位（包括实行公务员管理的事业单位）开支的离退休经费。</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7</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社会保障和就业支出（类）行政事业单位养老支出（款）机关事业单位基本养老保险缴费支出（项）：指机关事业单位实施养老保险制度由单位缴纳的基本养老保险费支出。</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8</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社会保障和就业支出（类）行政事业单位离退休（款）机关事业单位职业年金缴费支出（项）：指机关事业单位实施养老保险制度由单位实际缴纳的职业年金支出</w:t>
      </w:r>
      <w:r>
        <w:rPr>
          <w:rFonts w:hint="eastAsia" w:ascii="Times New Roman" w:hAnsi="Times New Roman" w:eastAsia="仿宋_GB2312" w:cs="Times New Roman"/>
          <w:kern w:val="0"/>
          <w:sz w:val="32"/>
          <w:szCs w:val="32"/>
          <w:lang w:val="en-US" w:eastAsia="zh-CN"/>
        </w:rPr>
        <w:t>（含职业年金补记支出）</w:t>
      </w:r>
      <w:r>
        <w:rPr>
          <w:rFonts w:hint="default" w:ascii="Times New Roman" w:hAnsi="Times New Roman" w:eastAsia="仿宋_GB2312" w:cs="Times New Roman"/>
          <w:kern w:val="0"/>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9</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社会保障和就业（类）</w:t>
      </w:r>
      <w:r>
        <w:rPr>
          <w:rFonts w:hint="eastAsia" w:ascii="Times New Roman" w:hAnsi="Times New Roman" w:eastAsia="仿宋_GB2312" w:cs="Times New Roman"/>
          <w:kern w:val="0"/>
          <w:sz w:val="32"/>
          <w:szCs w:val="32"/>
          <w:lang w:val="en-US" w:eastAsia="zh-CN"/>
        </w:rPr>
        <w:t>红十字事业</w:t>
      </w:r>
      <w:r>
        <w:rPr>
          <w:rFonts w:hint="default" w:ascii="Times New Roman" w:hAnsi="Times New Roman" w:eastAsia="仿宋_GB2312" w:cs="Times New Roman"/>
          <w:kern w:val="0"/>
          <w:sz w:val="32"/>
          <w:szCs w:val="32"/>
          <w:lang w:val="en-US" w:eastAsia="zh-CN"/>
        </w:rPr>
        <w:t>（款）</w:t>
      </w:r>
      <w:r>
        <w:rPr>
          <w:rFonts w:hint="eastAsia" w:ascii="Times New Roman" w:hAnsi="Times New Roman" w:eastAsia="仿宋_GB2312" w:cs="Times New Roman"/>
          <w:kern w:val="0"/>
          <w:sz w:val="32"/>
          <w:szCs w:val="32"/>
          <w:lang w:val="en-US" w:eastAsia="zh-CN"/>
        </w:rPr>
        <w:t>行政运行</w:t>
      </w:r>
      <w:r>
        <w:rPr>
          <w:rFonts w:hint="default" w:ascii="Times New Roman" w:hAnsi="Times New Roman" w:eastAsia="仿宋_GB2312" w:cs="Times New Roman"/>
          <w:kern w:val="0"/>
          <w:sz w:val="32"/>
          <w:szCs w:val="32"/>
          <w:lang w:val="en-US" w:eastAsia="zh-CN"/>
        </w:rPr>
        <w:t>（项）</w:t>
      </w:r>
      <w:r>
        <w:rPr>
          <w:rFonts w:hint="eastAsia" w:ascii="Times New Roman" w:hAnsi="Times New Roman" w:eastAsia="仿宋_GB2312" w:cs="Times New Roman"/>
          <w:kern w:val="0"/>
          <w:sz w:val="32"/>
          <w:szCs w:val="32"/>
          <w:lang w:val="en-US" w:eastAsia="zh-CN"/>
        </w:rPr>
        <w:t>：指行政单位</w:t>
      </w:r>
      <w:r>
        <w:rPr>
          <w:rFonts w:hint="default" w:ascii="Times New Roman" w:hAnsi="Times New Roman" w:eastAsia="仿宋_GB2312" w:cs="Times New Roman"/>
          <w:kern w:val="0"/>
          <w:sz w:val="32"/>
          <w:szCs w:val="32"/>
          <w:lang w:val="en-US" w:eastAsia="zh-CN"/>
        </w:rPr>
        <w:t>（包括实行公务员管理的事业单位）</w:t>
      </w:r>
      <w:r>
        <w:rPr>
          <w:rFonts w:hint="eastAsia" w:ascii="Times New Roman" w:hAnsi="Times New Roman" w:eastAsia="仿宋_GB2312" w:cs="Times New Roman"/>
          <w:kern w:val="0"/>
          <w:sz w:val="32"/>
          <w:szCs w:val="32"/>
          <w:lang w:val="en-US" w:eastAsia="zh-CN"/>
        </w:rPr>
        <w:t>的基本支出</w:t>
      </w:r>
      <w:r>
        <w:rPr>
          <w:rFonts w:hint="default" w:ascii="Times New Roman" w:hAnsi="Times New Roman" w:eastAsia="仿宋_GB2312" w:cs="Times New Roman"/>
          <w:kern w:val="0"/>
          <w:sz w:val="32"/>
          <w:szCs w:val="32"/>
          <w:lang w:val="en-US" w:eastAsia="zh-CN"/>
        </w:rPr>
        <w:t>。</w:t>
      </w:r>
    </w:p>
    <w:p>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10</w:t>
      </w:r>
      <w:r>
        <w:rPr>
          <w:rFonts w:hint="default" w:ascii="Times New Roman" w:hAnsi="Times New Roman" w:eastAsia="仿宋_GB2312" w:cs="Times New Roman"/>
          <w:kern w:val="0"/>
          <w:sz w:val="32"/>
          <w:szCs w:val="32"/>
          <w:lang w:val="en-US" w:eastAsia="zh-CN" w:bidi="ar-SA"/>
        </w:rPr>
        <w:t>.社会保障和就业（类）</w:t>
      </w:r>
      <w:r>
        <w:rPr>
          <w:rFonts w:hint="eastAsia" w:ascii="Times New Roman" w:hAnsi="Times New Roman" w:eastAsia="仿宋_GB2312" w:cs="Times New Roman"/>
          <w:kern w:val="0"/>
          <w:sz w:val="32"/>
          <w:szCs w:val="32"/>
          <w:lang w:val="en-US" w:eastAsia="zh-CN" w:bidi="ar-SA"/>
        </w:rPr>
        <w:t>红十字事业</w:t>
      </w:r>
      <w:r>
        <w:rPr>
          <w:rFonts w:hint="default" w:ascii="Times New Roman" w:hAnsi="Times New Roman" w:eastAsia="仿宋_GB2312" w:cs="Times New Roman"/>
          <w:kern w:val="0"/>
          <w:sz w:val="32"/>
          <w:szCs w:val="32"/>
          <w:lang w:val="en-US" w:eastAsia="zh-CN" w:bidi="ar-SA"/>
        </w:rPr>
        <w:t>（款）</w:t>
      </w:r>
      <w:r>
        <w:rPr>
          <w:rFonts w:hint="eastAsia" w:ascii="Times New Roman" w:hAnsi="Times New Roman" w:eastAsia="仿宋_GB2312" w:cs="Times New Roman"/>
          <w:kern w:val="0"/>
          <w:sz w:val="32"/>
          <w:szCs w:val="32"/>
          <w:lang w:val="en-US" w:eastAsia="zh-CN" w:bidi="ar-SA"/>
        </w:rPr>
        <w:t>一般行政管理事务</w:t>
      </w:r>
      <w:r>
        <w:rPr>
          <w:rFonts w:hint="default" w:ascii="Times New Roman" w:hAnsi="Times New Roman" w:eastAsia="仿宋_GB2312" w:cs="Times New Roman"/>
          <w:kern w:val="0"/>
          <w:sz w:val="32"/>
          <w:szCs w:val="32"/>
          <w:lang w:val="en-US" w:eastAsia="zh-CN" w:bidi="ar-SA"/>
        </w:rPr>
        <w:t>（项）</w:t>
      </w:r>
      <w:r>
        <w:rPr>
          <w:rFonts w:hint="eastAsia" w:ascii="Times New Roman" w:hAnsi="Times New Roman" w:eastAsia="仿宋_GB2312" w:cs="Times New Roman"/>
          <w:kern w:val="0"/>
          <w:sz w:val="32"/>
          <w:szCs w:val="32"/>
          <w:lang w:val="en-US" w:eastAsia="zh-CN" w:bidi="ar-SA"/>
        </w:rPr>
        <w:t>：指</w:t>
      </w:r>
      <w:r>
        <w:rPr>
          <w:rFonts w:hint="eastAsia" w:ascii="Times New Roman" w:hAnsi="Times New Roman" w:eastAsia="仿宋_GB2312" w:cs="Times New Roman"/>
          <w:kern w:val="0"/>
          <w:sz w:val="32"/>
          <w:szCs w:val="32"/>
          <w:lang w:val="en-US" w:eastAsia="zh-CN"/>
        </w:rPr>
        <w:t>行政单位</w:t>
      </w:r>
      <w:r>
        <w:rPr>
          <w:rFonts w:hint="default" w:ascii="Times New Roman" w:hAnsi="Times New Roman" w:eastAsia="仿宋_GB2312" w:cs="Times New Roman"/>
          <w:kern w:val="0"/>
          <w:sz w:val="32"/>
          <w:szCs w:val="32"/>
          <w:lang w:val="en-US" w:eastAsia="zh-CN"/>
        </w:rPr>
        <w:t>（包括实行公务员管理的事业单位）</w:t>
      </w:r>
      <w:r>
        <w:rPr>
          <w:rFonts w:hint="eastAsia" w:hAnsi="Times New Roman" w:cs="Times New Roman"/>
          <w:kern w:val="0"/>
          <w:sz w:val="32"/>
          <w:szCs w:val="32"/>
          <w:lang w:val="en-US" w:eastAsia="zh-CN"/>
        </w:rPr>
        <w:t>未单独设置项目级科目的其他项目支出。</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eastAsia" w:ascii="Times New Roman" w:hAnsi="Times New Roman" w:eastAsia="仿宋_GB2312" w:cs="Times New Roman"/>
          <w:bCs/>
          <w:kern w:val="0"/>
          <w:sz w:val="32"/>
          <w:szCs w:val="32"/>
          <w:lang w:val="en-US" w:eastAsia="zh-CN" w:bidi="ar-SA"/>
        </w:rPr>
      </w:pPr>
      <w:r>
        <w:rPr>
          <w:rFonts w:hint="eastAsia" w:ascii="Times New Roman" w:hAnsi="Times New Roman" w:eastAsia="仿宋_GB2312" w:cs="Times New Roman"/>
          <w:bCs/>
          <w:kern w:val="0"/>
          <w:sz w:val="32"/>
          <w:szCs w:val="32"/>
          <w:lang w:val="en-US" w:eastAsia="zh-CN" w:bidi="ar-SA"/>
        </w:rPr>
        <w:t>11</w:t>
      </w:r>
      <w:r>
        <w:rPr>
          <w:rFonts w:hint="default" w:ascii="Times New Roman" w:hAnsi="Times New Roman" w:eastAsia="仿宋_GB2312" w:cs="Times New Roman"/>
          <w:bCs/>
          <w:kern w:val="0"/>
          <w:sz w:val="32"/>
          <w:szCs w:val="32"/>
          <w:lang w:val="en-US" w:eastAsia="zh-CN" w:bidi="ar-SA"/>
        </w:rPr>
        <w:t>.社会保障和就业（类）</w:t>
      </w:r>
      <w:r>
        <w:rPr>
          <w:rFonts w:hint="eastAsia" w:ascii="Times New Roman" w:hAnsi="Times New Roman" w:eastAsia="仿宋_GB2312" w:cs="Times New Roman"/>
          <w:bCs/>
          <w:kern w:val="0"/>
          <w:sz w:val="32"/>
          <w:szCs w:val="32"/>
          <w:lang w:val="en-US" w:eastAsia="zh-CN" w:bidi="ar-SA"/>
        </w:rPr>
        <w:t>红十字事业</w:t>
      </w:r>
      <w:r>
        <w:rPr>
          <w:rFonts w:hint="default" w:ascii="Times New Roman" w:hAnsi="Times New Roman" w:eastAsia="仿宋_GB2312" w:cs="Times New Roman"/>
          <w:bCs/>
          <w:kern w:val="0"/>
          <w:sz w:val="32"/>
          <w:szCs w:val="32"/>
          <w:lang w:val="en-US" w:eastAsia="zh-CN" w:bidi="ar-SA"/>
        </w:rPr>
        <w:t>（款）</w:t>
      </w:r>
      <w:r>
        <w:rPr>
          <w:rFonts w:hint="eastAsia" w:ascii="Times New Roman" w:hAnsi="Times New Roman" w:eastAsia="仿宋_GB2312" w:cs="Times New Roman"/>
          <w:bCs/>
          <w:kern w:val="0"/>
          <w:sz w:val="32"/>
          <w:szCs w:val="32"/>
          <w:lang w:val="en-US" w:eastAsia="zh-CN" w:bidi="ar-SA"/>
        </w:rPr>
        <w:t>其他红十字事业支出</w:t>
      </w:r>
      <w:r>
        <w:rPr>
          <w:rFonts w:hint="default" w:ascii="Times New Roman" w:hAnsi="Times New Roman" w:eastAsia="仿宋_GB2312" w:cs="Times New Roman"/>
          <w:bCs/>
          <w:kern w:val="0"/>
          <w:sz w:val="32"/>
          <w:szCs w:val="32"/>
          <w:lang w:val="en-US" w:eastAsia="zh-CN" w:bidi="ar-SA"/>
        </w:rPr>
        <w:t>（项）</w:t>
      </w:r>
      <w:r>
        <w:rPr>
          <w:rFonts w:hint="eastAsia" w:ascii="Times New Roman" w:hAnsi="Times New Roman" w:eastAsia="仿宋_GB2312" w:cs="Times New Roman"/>
          <w:bCs/>
          <w:kern w:val="0"/>
          <w:sz w:val="32"/>
          <w:szCs w:val="32"/>
          <w:lang w:val="en-US" w:eastAsia="zh-CN" w:bidi="ar-SA"/>
        </w:rPr>
        <w:t>：指除行政运行、一般行政管理事务、机关服务、事业运行项目以外其他用于红十字事业方面的支出。</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12.</w:t>
      </w:r>
      <w:r>
        <w:rPr>
          <w:rFonts w:hint="default" w:ascii="Times New Roman" w:hAnsi="Times New Roman" w:eastAsia="仿宋_GB2312" w:cs="Times New Roman"/>
          <w:kern w:val="0"/>
          <w:sz w:val="32"/>
          <w:szCs w:val="32"/>
          <w:lang w:val="en-US" w:eastAsia="zh-CN"/>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卫生健康支出（类）行政事业单位医疗（款）公务员医疗补助（项）：指财政部门安排的公务员医疗补助经费。</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 xml:space="preserve">住房保障支出（类）住房改革支出（款）住房公积金（项）：指行政事业单位按人力资源和社会保障部、财政部规定的基本工资和津贴补贴以及规定比例为职工缴纳的住房公积金。 </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住房保障支出（类）住房改革支出（款）购房补贴 （项）：指按房改政策规定，行政事业单位向符合条件职工 （含离退休人员）、军队（含武警）向转役复员离退休人员 发放的用于购买住房的补贴。</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en-US" w:eastAsia="zh-CN"/>
        </w:rPr>
        <w:t>三公</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经费</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是指地方部门用财政拨款安排的因公出国</w:t>
      </w:r>
      <w:r>
        <w:rPr>
          <w:rFonts w:hint="eastAsia" w:ascii="Times New Roman" w:hAnsi="Times New Roman" w:eastAsia="仿宋_GB2312" w:cs="Times New Roman"/>
          <w:kern w:val="0"/>
          <w:sz w:val="32"/>
          <w:szCs w:val="32"/>
          <w:lang w:val="en-US" w:eastAsia="zh-CN"/>
        </w:rPr>
        <w:t>（境）</w:t>
      </w:r>
      <w:r>
        <w:rPr>
          <w:rFonts w:hint="default" w:ascii="Times New Roman" w:hAnsi="Times New Roman" w:eastAsia="仿宋_GB2312" w:cs="Times New Roman"/>
          <w:kern w:val="0"/>
          <w:sz w:val="32"/>
          <w:szCs w:val="32"/>
          <w:lang w:val="en-US" w:eastAsia="zh-CN"/>
        </w:rPr>
        <w:t>费、公务用车购置及运行费和公务接待费</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是党政机关维持运转或完成特定工作任务所开支的相关支出</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是政府行政开支的一部分。其中</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因公出国</w:t>
      </w:r>
      <w:r>
        <w:rPr>
          <w:rFonts w:hint="eastAsia" w:ascii="Times New Roman" w:hAnsi="Times New Roman" w:eastAsia="仿宋_GB2312" w:cs="Times New Roman"/>
          <w:kern w:val="0"/>
          <w:sz w:val="32"/>
          <w:szCs w:val="32"/>
          <w:lang w:val="en-US" w:eastAsia="zh-CN"/>
        </w:rPr>
        <w:t>（境）</w:t>
      </w:r>
      <w:r>
        <w:rPr>
          <w:rFonts w:hint="default" w:ascii="Times New Roman" w:hAnsi="Times New Roman" w:eastAsia="仿宋_GB2312" w:cs="Times New Roman"/>
          <w:kern w:val="0"/>
          <w:sz w:val="32"/>
          <w:szCs w:val="32"/>
          <w:lang w:val="en-US" w:eastAsia="zh-CN"/>
        </w:rPr>
        <w:t>费反映单位公务出国</w:t>
      </w:r>
      <w:r>
        <w:rPr>
          <w:rFonts w:hint="eastAsia" w:ascii="Times New Roman" w:hAnsi="Times New Roman" w:eastAsia="仿宋_GB2312" w:cs="Times New Roman"/>
          <w:kern w:val="0"/>
          <w:sz w:val="32"/>
          <w:szCs w:val="32"/>
          <w:lang w:val="en-US" w:eastAsia="zh-CN"/>
        </w:rPr>
        <w:t>（境）</w:t>
      </w:r>
      <w:r>
        <w:rPr>
          <w:rFonts w:hint="default" w:ascii="Times New Roman" w:hAnsi="Times New Roman" w:eastAsia="仿宋_GB2312" w:cs="Times New Roman"/>
          <w:kern w:val="0"/>
          <w:sz w:val="32"/>
          <w:szCs w:val="32"/>
          <w:lang w:val="en-US" w:eastAsia="zh-CN"/>
        </w:rPr>
        <w:t>的国际旅费、国外城市间交通费、住宿费、伙食费、培训费、公杂费等支出;公务用车购置及运行费反映单位公务用车车辆购置支出</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含车辆购置税</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及燃料费维修费、过桥过路费、保险费、安全奖励费用等支出;公务接待费反映单位按规定开支的各类公务接待</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含外宾接待支出</w:t>
      </w:r>
      <w:r>
        <w:rPr>
          <w:rFonts w:hint="eastAsia" w:ascii="Times New Roman" w:hAnsi="Times New Roman" w:eastAsia="仿宋_GB2312" w:cs="Times New Roman"/>
          <w:kern w:val="0"/>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lang w:val="en-US" w:eastAsia="zh-CN"/>
        </w:rPr>
        <w:t>机关运行经费</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指为保障行政单位</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含参照公务员法 管理的事业单位</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运行用于购买货物和服务的各项资金</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 xml:space="preserve">  </w:t>
      </w:r>
    </w:p>
    <w:p>
      <w:pPr>
        <w:spacing w:line="560" w:lineRule="exact"/>
        <w:ind w:firstLine="640" w:firstLineChars="200"/>
        <w:outlineLvl w:val="1"/>
        <w:rPr>
          <w:rFonts w:ascii="Times New Roman" w:hAnsi="Times New Roman" w:eastAsia="仿宋_GB2312" w:cs="Times New Roman"/>
          <w:kern w:val="0"/>
          <w:sz w:val="32"/>
          <w:szCs w:val="32"/>
        </w:rPr>
      </w:pPr>
    </w:p>
    <w:p>
      <w:pPr>
        <w:spacing w:line="560" w:lineRule="exact"/>
        <w:jc w:val="center"/>
        <w:outlineLvl w:val="1"/>
        <w:rPr>
          <w:rFonts w:ascii="Times New Roman" w:hAnsi="Times New Roman" w:eastAsia="仿宋_GB2312" w:cs="Times New Roman"/>
          <w:kern w:val="0"/>
          <w:sz w:val="32"/>
          <w:szCs w:val="32"/>
        </w:rPr>
      </w:pPr>
      <w:r>
        <w:rPr>
          <w:rFonts w:ascii="Times New Roman" w:hAnsi="Times New Roman" w:eastAsia="黑体" w:cs="Times New Roman"/>
          <w:kern w:val="0"/>
          <w:sz w:val="36"/>
          <w:szCs w:val="36"/>
        </w:rPr>
        <w:t>第五部分    附件</w:t>
      </w: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p>
    <w:p>
      <w:pPr>
        <w:spacing w:before="6" w:line="240" w:lineRule="auto"/>
        <w:jc w:val="center"/>
        <w:rPr>
          <w:rFonts w:hint="default" w:ascii="Times New Roman" w:hAnsi="Times New Roman" w:eastAsia="方正小标宋_GBK" w:cs="Times New Roman"/>
          <w:b/>
          <w:bCs/>
          <w:i w:val="0"/>
          <w:color w:val="000000"/>
          <w:sz w:val="36"/>
          <w:szCs w:val="36"/>
          <w:u w:val="none"/>
          <w:lang w:val="zh-CN" w:eastAsia="zh-CN" w:bidi="zh-CN"/>
        </w:rPr>
      </w:pPr>
      <w:r>
        <w:rPr>
          <w:rFonts w:hint="default" w:ascii="Times New Roman" w:hAnsi="Times New Roman" w:eastAsia="方正小标宋_GBK" w:cs="Times New Roman"/>
          <w:b/>
          <w:bCs/>
          <w:i w:val="0"/>
          <w:color w:val="000000"/>
          <w:sz w:val="36"/>
          <w:szCs w:val="36"/>
          <w:u w:val="none"/>
          <w:lang w:val="zh-CN" w:eastAsia="zh-CN" w:bidi="zh-CN"/>
        </w:rPr>
        <w:t>项目支出绩效自评表</w:t>
      </w:r>
    </w:p>
    <w:p>
      <w:pPr>
        <w:pStyle w:val="2"/>
        <w:keepNext w:val="0"/>
        <w:keepLines w:val="0"/>
        <w:pageBreakBefore w:val="0"/>
        <w:widowControl w:val="0"/>
        <w:kinsoku/>
        <w:wordWrap/>
        <w:overflowPunct/>
        <w:topLinePunct w:val="0"/>
        <w:autoSpaceDE/>
        <w:autoSpaceDN/>
        <w:bidi w:val="0"/>
        <w:adjustRightInd w:val="0"/>
        <w:snapToGrid w:val="0"/>
        <w:spacing w:line="192" w:lineRule="auto"/>
        <w:ind w:left="0" w:leftChars="0" w:firstLine="0" w:firstLineChars="0"/>
        <w:jc w:val="center"/>
        <w:textAlignment w:val="auto"/>
        <w:rPr>
          <w:rFonts w:hint="default" w:ascii="Times New Roman" w:hAnsi="Times New Roman" w:eastAsia="宋体" w:cs="Times New Roman"/>
          <w:i w:val="0"/>
          <w:caps w:val="0"/>
          <w:color w:val="000000"/>
          <w:spacing w:val="0"/>
          <w:kern w:val="2"/>
          <w:sz w:val="20"/>
          <w:szCs w:val="20"/>
          <w:shd w:val="clear" w:color="auto" w:fill="FFFFFF"/>
          <w:lang w:val="en-US" w:eastAsia="zh-CN" w:bidi="ar-SA"/>
        </w:rPr>
      </w:pPr>
      <w:r>
        <w:rPr>
          <w:rFonts w:hint="eastAsia" w:ascii="Times New Roman" w:hAnsi="Times New Roman" w:eastAsia="宋体" w:cs="Times New Roman"/>
          <w:i w:val="0"/>
          <w:caps w:val="0"/>
          <w:color w:val="000000"/>
          <w:spacing w:val="0"/>
          <w:kern w:val="2"/>
          <w:sz w:val="20"/>
          <w:szCs w:val="20"/>
          <w:shd w:val="clear" w:color="auto" w:fill="FFFFFF"/>
          <w:lang w:val="zh-CN" w:eastAsia="zh-CN" w:bidi="ar-SA"/>
        </w:rPr>
        <w:t>（</w:t>
      </w:r>
      <w:r>
        <w:rPr>
          <w:rFonts w:hint="eastAsia" w:ascii="Times New Roman" w:hAnsi="Times New Roman" w:eastAsia="宋体" w:cs="Times New Roman"/>
          <w:i w:val="0"/>
          <w:caps w:val="0"/>
          <w:color w:val="000000"/>
          <w:spacing w:val="0"/>
          <w:kern w:val="2"/>
          <w:sz w:val="20"/>
          <w:szCs w:val="20"/>
          <w:shd w:val="clear" w:color="auto" w:fill="FFFFFF"/>
          <w:lang w:val="en-US" w:eastAsia="zh-CN" w:bidi="ar-SA"/>
        </w:rPr>
        <w:t>202</w:t>
      </w:r>
      <w:r>
        <w:rPr>
          <w:rFonts w:hint="eastAsia" w:hAnsi="Times New Roman" w:eastAsia="宋体" w:cs="Times New Roman"/>
          <w:i w:val="0"/>
          <w:caps w:val="0"/>
          <w:color w:val="000000"/>
          <w:spacing w:val="0"/>
          <w:kern w:val="2"/>
          <w:sz w:val="20"/>
          <w:szCs w:val="20"/>
          <w:shd w:val="clear" w:color="auto" w:fill="FFFFFF"/>
          <w:lang w:val="en-US" w:eastAsia="zh-CN" w:bidi="ar-SA"/>
        </w:rPr>
        <w:t>5</w:t>
      </w:r>
      <w:r>
        <w:rPr>
          <w:rFonts w:hint="eastAsia" w:ascii="Times New Roman" w:hAnsi="Times New Roman" w:eastAsia="宋体" w:cs="Times New Roman"/>
          <w:i w:val="0"/>
          <w:caps w:val="0"/>
          <w:color w:val="000000"/>
          <w:spacing w:val="0"/>
          <w:kern w:val="2"/>
          <w:sz w:val="20"/>
          <w:szCs w:val="20"/>
          <w:shd w:val="clear" w:color="auto" w:fill="FFFFFF"/>
          <w:lang w:val="en-US" w:eastAsia="zh-CN" w:bidi="ar-SA"/>
        </w:rPr>
        <w:t>年度）</w:t>
      </w:r>
    </w:p>
    <w:tbl>
      <w:tblPr>
        <w:tblStyle w:val="10"/>
        <w:tblpPr w:leftFromText="180" w:rightFromText="180" w:vertAnchor="text" w:horzAnchor="page" w:tblpX="1222" w:tblpY="684"/>
        <w:tblOverlap w:val="never"/>
        <w:tblW w:w="99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5"/>
        <w:gridCol w:w="589"/>
        <w:gridCol w:w="288"/>
        <w:gridCol w:w="540"/>
        <w:gridCol w:w="1488"/>
        <w:gridCol w:w="1164"/>
        <w:gridCol w:w="168"/>
        <w:gridCol w:w="948"/>
        <w:gridCol w:w="1190"/>
        <w:gridCol w:w="250"/>
        <w:gridCol w:w="350"/>
        <w:gridCol w:w="750"/>
        <w:gridCol w:w="169"/>
        <w:gridCol w:w="656"/>
        <w:gridCol w:w="9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1342" w:type="dxa"/>
            <w:gridSpan w:val="3"/>
            <w:vAlign w:val="center"/>
          </w:tcPr>
          <w:p>
            <w:pPr>
              <w:pStyle w:val="15"/>
              <w:spacing w:before="6" w:line="199" w:lineRule="exact"/>
              <w:jc w:val="center"/>
              <w:rPr>
                <w:sz w:val="16"/>
                <w:szCs w:val="16"/>
              </w:rPr>
            </w:pPr>
            <w:r>
              <w:rPr>
                <w:sz w:val="16"/>
                <w:szCs w:val="16"/>
              </w:rPr>
              <w:t>项目名称</w:t>
            </w:r>
          </w:p>
        </w:tc>
        <w:tc>
          <w:tcPr>
            <w:tcW w:w="8618" w:type="dxa"/>
            <w:gridSpan w:val="12"/>
            <w:vAlign w:val="center"/>
          </w:tcPr>
          <w:p>
            <w:pPr>
              <w:pStyle w:val="15"/>
              <w:spacing w:before="6" w:line="199" w:lineRule="exact"/>
              <w:ind w:left="397"/>
              <w:jc w:val="center"/>
              <w:rPr>
                <w:rFonts w:hint="eastAsia" w:ascii="宋体" w:hAnsi="宋体" w:eastAsia="宋体" w:cs="宋体"/>
                <w:sz w:val="16"/>
                <w:szCs w:val="16"/>
                <w:lang w:eastAsia="zh-CN"/>
              </w:rPr>
            </w:pPr>
            <w:r>
              <w:rPr>
                <w:rFonts w:hint="default" w:ascii="宋体" w:hAnsi="宋体" w:eastAsia="宋体" w:cs="宋体"/>
                <w:sz w:val="16"/>
                <w:szCs w:val="16"/>
              </w:rPr>
              <w:t>红十字会工作经</w:t>
            </w:r>
            <w:r>
              <w:rPr>
                <w:rFonts w:hint="eastAsia" w:ascii="宋体" w:hAnsi="宋体" w:eastAsia="宋体" w:cs="宋体"/>
                <w:sz w:val="16"/>
                <w:szCs w:val="16"/>
                <w:lang w:eastAsia="zh-CN"/>
              </w:rPr>
              <w:t>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1342" w:type="dxa"/>
            <w:gridSpan w:val="3"/>
            <w:vAlign w:val="center"/>
          </w:tcPr>
          <w:p>
            <w:pPr>
              <w:pStyle w:val="15"/>
              <w:spacing w:before="6" w:line="199" w:lineRule="exact"/>
              <w:jc w:val="center"/>
              <w:rPr>
                <w:sz w:val="16"/>
                <w:szCs w:val="16"/>
              </w:rPr>
            </w:pPr>
            <w:r>
              <w:rPr>
                <w:sz w:val="16"/>
                <w:szCs w:val="16"/>
              </w:rPr>
              <w:t>主管部门</w:t>
            </w:r>
          </w:p>
        </w:tc>
        <w:tc>
          <w:tcPr>
            <w:tcW w:w="4308" w:type="dxa"/>
            <w:gridSpan w:val="5"/>
            <w:vAlign w:val="center"/>
          </w:tcPr>
          <w:p>
            <w:pPr>
              <w:pStyle w:val="15"/>
              <w:spacing w:before="6" w:line="199" w:lineRule="exact"/>
              <w:jc w:val="center"/>
              <w:rPr>
                <w:rFonts w:hint="default" w:ascii="宋体" w:hAnsi="宋体" w:eastAsia="宋体" w:cs="宋体"/>
                <w:sz w:val="16"/>
                <w:szCs w:val="16"/>
              </w:rPr>
            </w:pPr>
            <w:r>
              <w:rPr>
                <w:rFonts w:hint="default" w:ascii="宋体" w:hAnsi="宋体" w:eastAsia="宋体" w:cs="宋体"/>
                <w:sz w:val="16"/>
                <w:szCs w:val="16"/>
              </w:rPr>
              <w:t>中卫市红十字会</w:t>
            </w:r>
          </w:p>
        </w:tc>
        <w:tc>
          <w:tcPr>
            <w:tcW w:w="1440" w:type="dxa"/>
            <w:gridSpan w:val="2"/>
            <w:vAlign w:val="center"/>
          </w:tcPr>
          <w:p>
            <w:pPr>
              <w:pStyle w:val="15"/>
              <w:spacing w:before="6" w:line="199" w:lineRule="exact"/>
              <w:jc w:val="center"/>
              <w:rPr>
                <w:rFonts w:ascii="宋体" w:hAnsi="宋体" w:eastAsia="宋体" w:cs="宋体"/>
                <w:sz w:val="16"/>
                <w:szCs w:val="16"/>
              </w:rPr>
            </w:pPr>
            <w:r>
              <w:rPr>
                <w:rFonts w:ascii="宋体" w:hAnsi="宋体" w:eastAsia="宋体" w:cs="宋体"/>
                <w:sz w:val="16"/>
                <w:szCs w:val="16"/>
              </w:rPr>
              <w:t>实施单位</w:t>
            </w:r>
          </w:p>
        </w:tc>
        <w:tc>
          <w:tcPr>
            <w:tcW w:w="2870" w:type="dxa"/>
            <w:gridSpan w:val="5"/>
            <w:vAlign w:val="center"/>
          </w:tcPr>
          <w:p>
            <w:pPr>
              <w:pStyle w:val="15"/>
              <w:spacing w:before="6" w:line="199" w:lineRule="exact"/>
              <w:jc w:val="center"/>
              <w:rPr>
                <w:rFonts w:ascii="宋体" w:hAnsi="宋体" w:eastAsia="宋体" w:cs="宋体"/>
                <w:sz w:val="16"/>
                <w:szCs w:val="16"/>
              </w:rPr>
            </w:pPr>
            <w:r>
              <w:rPr>
                <w:rFonts w:hint="default" w:ascii="宋体" w:hAnsi="宋体" w:eastAsia="宋体" w:cs="宋体"/>
                <w:sz w:val="16"/>
                <w:szCs w:val="16"/>
              </w:rPr>
              <w:t>中卫市红十字会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1342" w:type="dxa"/>
            <w:gridSpan w:val="3"/>
            <w:vMerge w:val="restart"/>
            <w:vAlign w:val="top"/>
          </w:tcPr>
          <w:p>
            <w:pPr>
              <w:pStyle w:val="15"/>
              <w:jc w:val="left"/>
              <w:rPr>
                <w:sz w:val="16"/>
                <w:szCs w:val="16"/>
              </w:rPr>
            </w:pPr>
          </w:p>
          <w:p>
            <w:pPr>
              <w:pStyle w:val="15"/>
              <w:spacing w:before="7"/>
              <w:jc w:val="left"/>
              <w:rPr>
                <w:sz w:val="16"/>
                <w:szCs w:val="16"/>
              </w:rPr>
            </w:pPr>
          </w:p>
          <w:p>
            <w:pPr>
              <w:pStyle w:val="15"/>
              <w:ind w:left="517"/>
              <w:jc w:val="left"/>
              <w:rPr>
                <w:sz w:val="16"/>
                <w:szCs w:val="16"/>
              </w:rPr>
            </w:pPr>
            <w:r>
              <w:rPr>
                <w:spacing w:val="3"/>
                <w:sz w:val="16"/>
                <w:szCs w:val="16"/>
              </w:rPr>
              <w:t>项目资金</w:t>
            </w:r>
          </w:p>
          <w:p>
            <w:pPr>
              <w:pStyle w:val="15"/>
              <w:spacing w:before="5"/>
              <w:ind w:left="517"/>
              <w:jc w:val="left"/>
              <w:rPr>
                <w:sz w:val="16"/>
                <w:szCs w:val="16"/>
              </w:rPr>
            </w:pPr>
            <w:r>
              <w:rPr>
                <w:spacing w:val="5"/>
                <w:sz w:val="16"/>
                <w:szCs w:val="16"/>
              </w:rPr>
              <w:t>（万元</w:t>
            </w:r>
            <w:r>
              <w:rPr>
                <w:sz w:val="16"/>
                <w:szCs w:val="16"/>
              </w:rPr>
              <w:t>）</w:t>
            </w:r>
          </w:p>
        </w:tc>
        <w:tc>
          <w:tcPr>
            <w:tcW w:w="2028" w:type="dxa"/>
            <w:gridSpan w:val="2"/>
            <w:vAlign w:val="top"/>
          </w:tcPr>
          <w:p>
            <w:pPr>
              <w:pStyle w:val="15"/>
              <w:rPr>
                <w:rFonts w:ascii="Times New Roman"/>
                <w:sz w:val="16"/>
                <w:szCs w:val="16"/>
              </w:rPr>
            </w:pPr>
          </w:p>
        </w:tc>
        <w:tc>
          <w:tcPr>
            <w:tcW w:w="1164" w:type="dxa"/>
            <w:vAlign w:val="top"/>
          </w:tcPr>
          <w:p>
            <w:pPr>
              <w:pStyle w:val="15"/>
              <w:spacing w:before="81"/>
              <w:ind w:left="28" w:right="32"/>
              <w:jc w:val="center"/>
              <w:rPr>
                <w:sz w:val="16"/>
                <w:szCs w:val="16"/>
              </w:rPr>
            </w:pPr>
            <w:r>
              <w:rPr>
                <w:sz w:val="16"/>
                <w:szCs w:val="16"/>
              </w:rPr>
              <w:t>年初预算数</w:t>
            </w:r>
          </w:p>
        </w:tc>
        <w:tc>
          <w:tcPr>
            <w:tcW w:w="1116" w:type="dxa"/>
            <w:gridSpan w:val="2"/>
            <w:vAlign w:val="top"/>
          </w:tcPr>
          <w:p>
            <w:pPr>
              <w:pStyle w:val="15"/>
              <w:spacing w:before="81"/>
              <w:ind w:left="37"/>
              <w:jc w:val="center"/>
              <w:rPr>
                <w:sz w:val="16"/>
                <w:szCs w:val="16"/>
              </w:rPr>
            </w:pPr>
            <w:r>
              <w:rPr>
                <w:sz w:val="16"/>
                <w:szCs w:val="16"/>
              </w:rPr>
              <w:t>全年预算数</w:t>
            </w:r>
          </w:p>
        </w:tc>
        <w:tc>
          <w:tcPr>
            <w:tcW w:w="1440" w:type="dxa"/>
            <w:gridSpan w:val="2"/>
            <w:vAlign w:val="top"/>
          </w:tcPr>
          <w:p>
            <w:pPr>
              <w:pStyle w:val="15"/>
              <w:spacing w:before="81"/>
              <w:ind w:left="352"/>
              <w:rPr>
                <w:sz w:val="16"/>
                <w:szCs w:val="16"/>
              </w:rPr>
            </w:pPr>
            <w:r>
              <w:rPr>
                <w:sz w:val="16"/>
                <w:szCs w:val="16"/>
              </w:rPr>
              <w:t>全年执行数</w:t>
            </w:r>
          </w:p>
        </w:tc>
        <w:tc>
          <w:tcPr>
            <w:tcW w:w="1100" w:type="dxa"/>
            <w:gridSpan w:val="2"/>
            <w:vAlign w:val="top"/>
          </w:tcPr>
          <w:p>
            <w:pPr>
              <w:pStyle w:val="15"/>
              <w:spacing w:before="81"/>
              <w:ind w:left="202"/>
              <w:jc w:val="center"/>
              <w:rPr>
                <w:sz w:val="16"/>
                <w:szCs w:val="16"/>
              </w:rPr>
            </w:pPr>
            <w:r>
              <w:rPr>
                <w:sz w:val="16"/>
                <w:szCs w:val="16"/>
              </w:rPr>
              <w:t>分值</w:t>
            </w:r>
          </w:p>
        </w:tc>
        <w:tc>
          <w:tcPr>
            <w:tcW w:w="825" w:type="dxa"/>
            <w:gridSpan w:val="2"/>
            <w:vAlign w:val="top"/>
          </w:tcPr>
          <w:p>
            <w:pPr>
              <w:pStyle w:val="15"/>
              <w:spacing w:before="81"/>
              <w:ind w:left="138" w:right="142"/>
              <w:jc w:val="center"/>
              <w:rPr>
                <w:sz w:val="16"/>
                <w:szCs w:val="16"/>
              </w:rPr>
            </w:pPr>
            <w:r>
              <w:rPr>
                <w:sz w:val="16"/>
                <w:szCs w:val="16"/>
              </w:rPr>
              <w:t>执行率</w:t>
            </w:r>
          </w:p>
        </w:tc>
        <w:tc>
          <w:tcPr>
            <w:tcW w:w="945" w:type="dxa"/>
            <w:vAlign w:val="top"/>
          </w:tcPr>
          <w:p>
            <w:pPr>
              <w:pStyle w:val="15"/>
              <w:spacing w:before="81"/>
              <w:ind w:left="307"/>
              <w:rPr>
                <w:sz w:val="16"/>
                <w:szCs w:val="16"/>
              </w:rPr>
            </w:pPr>
            <w:r>
              <w:rPr>
                <w:sz w:val="16"/>
                <w:szCs w:val="16"/>
              </w:rPr>
              <w:t>得分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atLeast"/>
        </w:trPr>
        <w:tc>
          <w:tcPr>
            <w:tcW w:w="1342" w:type="dxa"/>
            <w:gridSpan w:val="3"/>
            <w:vMerge w:val="continue"/>
            <w:tcBorders>
              <w:top w:val="nil"/>
            </w:tcBorders>
            <w:vAlign w:val="top"/>
          </w:tcPr>
          <w:p>
            <w:pPr>
              <w:rPr>
                <w:sz w:val="16"/>
                <w:szCs w:val="16"/>
              </w:rPr>
            </w:pPr>
          </w:p>
        </w:tc>
        <w:tc>
          <w:tcPr>
            <w:tcW w:w="2028" w:type="dxa"/>
            <w:gridSpan w:val="2"/>
            <w:vAlign w:val="top"/>
          </w:tcPr>
          <w:p>
            <w:pPr>
              <w:pStyle w:val="15"/>
              <w:spacing w:before="6" w:line="199" w:lineRule="exact"/>
              <w:ind w:left="37"/>
              <w:rPr>
                <w:sz w:val="16"/>
                <w:szCs w:val="16"/>
              </w:rPr>
            </w:pPr>
            <w:r>
              <w:rPr>
                <w:sz w:val="16"/>
                <w:szCs w:val="16"/>
              </w:rPr>
              <w:t>年度资金总额：</w:t>
            </w:r>
          </w:p>
        </w:tc>
        <w:tc>
          <w:tcPr>
            <w:tcW w:w="1164" w:type="dxa"/>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2</w:t>
            </w:r>
            <w:r>
              <w:rPr>
                <w:rFonts w:hint="eastAsia" w:ascii="Times New Roman" w:cs="宋体"/>
                <w:sz w:val="16"/>
                <w:szCs w:val="16"/>
                <w:lang w:val="en-US" w:eastAsia="zh-CN"/>
              </w:rPr>
              <w:t>0</w:t>
            </w:r>
          </w:p>
        </w:tc>
        <w:tc>
          <w:tcPr>
            <w:tcW w:w="1116"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2</w:t>
            </w:r>
            <w:r>
              <w:rPr>
                <w:rFonts w:hint="eastAsia" w:ascii="Times New Roman" w:cs="宋体"/>
                <w:sz w:val="16"/>
                <w:szCs w:val="16"/>
                <w:lang w:val="en-US" w:eastAsia="zh-CN"/>
              </w:rPr>
              <w:t>0</w:t>
            </w:r>
          </w:p>
        </w:tc>
        <w:tc>
          <w:tcPr>
            <w:tcW w:w="1440"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2</w:t>
            </w:r>
            <w:r>
              <w:rPr>
                <w:rFonts w:hint="eastAsia" w:ascii="Times New Roman" w:cs="宋体"/>
                <w:sz w:val="16"/>
                <w:szCs w:val="16"/>
                <w:lang w:val="en-US" w:eastAsia="zh-CN"/>
              </w:rPr>
              <w:t>0</w:t>
            </w:r>
          </w:p>
        </w:tc>
        <w:tc>
          <w:tcPr>
            <w:tcW w:w="1100"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1</w:t>
            </w:r>
            <w:r>
              <w:rPr>
                <w:rFonts w:hint="eastAsia" w:ascii="Times New Roman" w:cs="宋体"/>
                <w:sz w:val="16"/>
                <w:szCs w:val="16"/>
                <w:lang w:val="en-US" w:eastAsia="zh-CN"/>
              </w:rPr>
              <w:t>0</w:t>
            </w:r>
          </w:p>
        </w:tc>
        <w:tc>
          <w:tcPr>
            <w:tcW w:w="825"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10</w:t>
            </w:r>
            <w:r>
              <w:rPr>
                <w:rFonts w:hint="eastAsia" w:ascii="Times New Roman" w:cs="宋体"/>
                <w:sz w:val="16"/>
                <w:szCs w:val="16"/>
                <w:lang w:val="en-US" w:eastAsia="zh-CN"/>
              </w:rPr>
              <w:t>0</w:t>
            </w:r>
            <w:r>
              <w:rPr>
                <w:rFonts w:hint="eastAsia" w:ascii="Times New Roman" w:hAnsi="宋体" w:eastAsia="宋体" w:cs="宋体"/>
                <w:sz w:val="16"/>
                <w:szCs w:val="16"/>
                <w:lang w:val="en-US" w:eastAsia="zh-CN"/>
              </w:rPr>
              <w:t>%</w:t>
            </w:r>
          </w:p>
        </w:tc>
        <w:tc>
          <w:tcPr>
            <w:tcW w:w="945" w:type="dxa"/>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1</w:t>
            </w:r>
            <w:r>
              <w:rPr>
                <w:rFonts w:hint="eastAsia" w:ascii="Times New Roman" w:cs="宋体"/>
                <w:sz w:val="16"/>
                <w:szCs w:val="16"/>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5" w:hRule="atLeast"/>
        </w:trPr>
        <w:tc>
          <w:tcPr>
            <w:tcW w:w="1342" w:type="dxa"/>
            <w:gridSpan w:val="3"/>
            <w:vMerge w:val="continue"/>
            <w:tcBorders>
              <w:top w:val="nil"/>
            </w:tcBorders>
            <w:vAlign w:val="top"/>
          </w:tcPr>
          <w:p>
            <w:pPr>
              <w:rPr>
                <w:sz w:val="16"/>
                <w:szCs w:val="16"/>
              </w:rPr>
            </w:pPr>
          </w:p>
        </w:tc>
        <w:tc>
          <w:tcPr>
            <w:tcW w:w="2028" w:type="dxa"/>
            <w:gridSpan w:val="2"/>
            <w:vAlign w:val="top"/>
          </w:tcPr>
          <w:p>
            <w:pPr>
              <w:pStyle w:val="15"/>
              <w:spacing w:before="6" w:line="199" w:lineRule="exact"/>
              <w:ind w:left="397"/>
              <w:rPr>
                <w:sz w:val="16"/>
                <w:szCs w:val="16"/>
              </w:rPr>
            </w:pPr>
            <w:r>
              <w:rPr>
                <w:sz w:val="16"/>
                <w:szCs w:val="16"/>
              </w:rPr>
              <w:t>其中：当年财政拨款</w:t>
            </w:r>
          </w:p>
        </w:tc>
        <w:tc>
          <w:tcPr>
            <w:tcW w:w="1164" w:type="dxa"/>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2</w:t>
            </w:r>
            <w:r>
              <w:rPr>
                <w:rFonts w:hint="eastAsia" w:ascii="Times New Roman" w:cs="宋体"/>
                <w:sz w:val="16"/>
                <w:szCs w:val="16"/>
                <w:lang w:val="en-US" w:eastAsia="zh-CN"/>
              </w:rPr>
              <w:t>0</w:t>
            </w:r>
          </w:p>
        </w:tc>
        <w:tc>
          <w:tcPr>
            <w:tcW w:w="1116"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cs="宋体"/>
                <w:sz w:val="16"/>
                <w:szCs w:val="16"/>
                <w:lang w:val="en-US" w:eastAsia="zh-CN"/>
              </w:rPr>
              <w:t>20</w:t>
            </w:r>
          </w:p>
        </w:tc>
        <w:tc>
          <w:tcPr>
            <w:tcW w:w="1440"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2</w:t>
            </w:r>
            <w:r>
              <w:rPr>
                <w:rFonts w:hint="eastAsia" w:ascii="Times New Roman" w:cs="宋体"/>
                <w:sz w:val="16"/>
                <w:szCs w:val="16"/>
                <w:lang w:val="en-US" w:eastAsia="zh-CN"/>
              </w:rPr>
              <w:t>0</w:t>
            </w:r>
          </w:p>
        </w:tc>
        <w:tc>
          <w:tcPr>
            <w:tcW w:w="1100"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w:t>
            </w:r>
          </w:p>
        </w:tc>
        <w:tc>
          <w:tcPr>
            <w:tcW w:w="825" w:type="dxa"/>
            <w:gridSpan w:val="2"/>
            <w:vAlign w:val="top"/>
          </w:tcPr>
          <w:p>
            <w:pPr>
              <w:pStyle w:val="15"/>
              <w:jc w:val="center"/>
              <w:rPr>
                <w:rFonts w:hint="eastAsia" w:ascii="Times New Roman" w:hAnsi="宋体" w:eastAsia="宋体" w:cs="宋体"/>
                <w:sz w:val="16"/>
                <w:szCs w:val="16"/>
                <w:lang w:val="en-US" w:eastAsia="zh-CN"/>
              </w:rPr>
            </w:pPr>
          </w:p>
        </w:tc>
        <w:tc>
          <w:tcPr>
            <w:tcW w:w="945" w:type="dxa"/>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5" w:hRule="atLeast"/>
        </w:trPr>
        <w:tc>
          <w:tcPr>
            <w:tcW w:w="1342" w:type="dxa"/>
            <w:gridSpan w:val="3"/>
            <w:vMerge w:val="continue"/>
            <w:tcBorders>
              <w:top w:val="nil"/>
            </w:tcBorders>
            <w:vAlign w:val="top"/>
          </w:tcPr>
          <w:p>
            <w:pPr>
              <w:rPr>
                <w:sz w:val="16"/>
                <w:szCs w:val="16"/>
              </w:rPr>
            </w:pPr>
          </w:p>
        </w:tc>
        <w:tc>
          <w:tcPr>
            <w:tcW w:w="2028" w:type="dxa"/>
            <w:gridSpan w:val="2"/>
            <w:vAlign w:val="top"/>
          </w:tcPr>
          <w:p>
            <w:pPr>
              <w:pStyle w:val="15"/>
              <w:spacing w:before="6" w:line="199" w:lineRule="exact"/>
              <w:ind w:left="682"/>
              <w:rPr>
                <w:sz w:val="16"/>
                <w:szCs w:val="16"/>
              </w:rPr>
            </w:pPr>
            <w:r>
              <w:rPr>
                <w:sz w:val="16"/>
                <w:szCs w:val="16"/>
              </w:rPr>
              <w:t>上年结转资金</w:t>
            </w:r>
          </w:p>
        </w:tc>
        <w:tc>
          <w:tcPr>
            <w:tcW w:w="1164" w:type="dxa"/>
            <w:vAlign w:val="top"/>
          </w:tcPr>
          <w:p>
            <w:pPr>
              <w:pStyle w:val="15"/>
              <w:jc w:val="center"/>
              <w:rPr>
                <w:rFonts w:hint="eastAsia" w:ascii="Times New Roman" w:hAnsi="宋体" w:eastAsia="宋体" w:cs="宋体"/>
                <w:sz w:val="16"/>
                <w:szCs w:val="16"/>
                <w:lang w:val="en-US" w:eastAsia="zh-CN"/>
              </w:rPr>
            </w:pPr>
          </w:p>
        </w:tc>
        <w:tc>
          <w:tcPr>
            <w:tcW w:w="1116" w:type="dxa"/>
            <w:gridSpan w:val="2"/>
            <w:vAlign w:val="top"/>
          </w:tcPr>
          <w:p>
            <w:pPr>
              <w:pStyle w:val="15"/>
              <w:jc w:val="center"/>
              <w:rPr>
                <w:rFonts w:hint="eastAsia" w:ascii="Times New Roman" w:hAnsi="宋体" w:eastAsia="宋体" w:cs="宋体"/>
                <w:sz w:val="16"/>
                <w:szCs w:val="16"/>
                <w:lang w:val="en-US" w:eastAsia="zh-CN"/>
              </w:rPr>
            </w:pPr>
          </w:p>
        </w:tc>
        <w:tc>
          <w:tcPr>
            <w:tcW w:w="1440" w:type="dxa"/>
            <w:gridSpan w:val="2"/>
            <w:vAlign w:val="top"/>
          </w:tcPr>
          <w:p>
            <w:pPr>
              <w:pStyle w:val="15"/>
              <w:jc w:val="both"/>
              <w:rPr>
                <w:rFonts w:hint="eastAsia" w:ascii="Times New Roman" w:hAnsi="宋体" w:eastAsia="宋体" w:cs="宋体"/>
                <w:sz w:val="16"/>
                <w:szCs w:val="16"/>
                <w:lang w:val="en-US" w:eastAsia="zh-CN"/>
              </w:rPr>
            </w:pPr>
          </w:p>
        </w:tc>
        <w:tc>
          <w:tcPr>
            <w:tcW w:w="1100" w:type="dxa"/>
            <w:gridSpan w:val="2"/>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w:t>
            </w:r>
          </w:p>
        </w:tc>
        <w:tc>
          <w:tcPr>
            <w:tcW w:w="825" w:type="dxa"/>
            <w:gridSpan w:val="2"/>
            <w:vAlign w:val="top"/>
          </w:tcPr>
          <w:p>
            <w:pPr>
              <w:pStyle w:val="15"/>
              <w:jc w:val="center"/>
              <w:rPr>
                <w:rFonts w:hint="eastAsia" w:ascii="Times New Roman" w:hAnsi="宋体" w:eastAsia="宋体" w:cs="宋体"/>
                <w:sz w:val="16"/>
                <w:szCs w:val="16"/>
                <w:lang w:val="en-US" w:eastAsia="zh-CN"/>
              </w:rPr>
            </w:pPr>
          </w:p>
        </w:tc>
        <w:tc>
          <w:tcPr>
            <w:tcW w:w="945" w:type="dxa"/>
            <w:vAlign w:val="top"/>
          </w:tcPr>
          <w:p>
            <w:pPr>
              <w:pStyle w:val="15"/>
              <w:jc w:val="center"/>
              <w:rPr>
                <w:rFonts w:hint="eastAsia" w:ascii="Times New Roman" w:hAnsi="宋体" w:eastAsia="宋体" w:cs="宋体"/>
                <w:sz w:val="16"/>
                <w:szCs w:val="16"/>
                <w:lang w:val="en-US" w:eastAsia="zh-CN"/>
              </w:rPr>
            </w:pPr>
            <w:r>
              <w:rPr>
                <w:rFonts w:hint="eastAsia" w:ascii="Times New Roman" w:hAnsi="宋体" w:eastAsia="宋体" w:cs="宋体"/>
                <w:sz w:val="16"/>
                <w:szCs w:val="16"/>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5" w:hRule="atLeast"/>
        </w:trPr>
        <w:tc>
          <w:tcPr>
            <w:tcW w:w="1342" w:type="dxa"/>
            <w:gridSpan w:val="3"/>
            <w:vMerge w:val="continue"/>
            <w:tcBorders>
              <w:top w:val="nil"/>
            </w:tcBorders>
            <w:vAlign w:val="top"/>
          </w:tcPr>
          <w:p>
            <w:pPr>
              <w:rPr>
                <w:sz w:val="16"/>
                <w:szCs w:val="16"/>
              </w:rPr>
            </w:pPr>
          </w:p>
        </w:tc>
        <w:tc>
          <w:tcPr>
            <w:tcW w:w="2028" w:type="dxa"/>
            <w:gridSpan w:val="2"/>
            <w:vAlign w:val="center"/>
          </w:tcPr>
          <w:p>
            <w:pPr>
              <w:pStyle w:val="15"/>
              <w:spacing w:before="6" w:line="199" w:lineRule="exact"/>
              <w:ind w:right="839"/>
              <w:jc w:val="center"/>
              <w:rPr>
                <w:sz w:val="16"/>
                <w:szCs w:val="16"/>
              </w:rPr>
            </w:pPr>
            <w:r>
              <w:rPr>
                <w:sz w:val="16"/>
                <w:szCs w:val="16"/>
              </w:rPr>
              <w:t>其他资金</w:t>
            </w:r>
          </w:p>
        </w:tc>
        <w:tc>
          <w:tcPr>
            <w:tcW w:w="1164" w:type="dxa"/>
            <w:vAlign w:val="top"/>
          </w:tcPr>
          <w:p>
            <w:pPr>
              <w:pStyle w:val="15"/>
              <w:rPr>
                <w:rFonts w:ascii="Times New Roman"/>
                <w:sz w:val="16"/>
                <w:szCs w:val="16"/>
              </w:rPr>
            </w:pPr>
          </w:p>
        </w:tc>
        <w:tc>
          <w:tcPr>
            <w:tcW w:w="1116" w:type="dxa"/>
            <w:gridSpan w:val="2"/>
            <w:vAlign w:val="top"/>
          </w:tcPr>
          <w:p>
            <w:pPr>
              <w:pStyle w:val="15"/>
              <w:rPr>
                <w:rFonts w:ascii="Times New Roman"/>
                <w:sz w:val="16"/>
                <w:szCs w:val="16"/>
              </w:rPr>
            </w:pPr>
          </w:p>
        </w:tc>
        <w:tc>
          <w:tcPr>
            <w:tcW w:w="1440" w:type="dxa"/>
            <w:gridSpan w:val="2"/>
            <w:vAlign w:val="top"/>
          </w:tcPr>
          <w:p>
            <w:pPr>
              <w:pStyle w:val="15"/>
              <w:rPr>
                <w:rFonts w:ascii="Times New Roman"/>
                <w:sz w:val="16"/>
                <w:szCs w:val="16"/>
              </w:rPr>
            </w:pPr>
          </w:p>
        </w:tc>
        <w:tc>
          <w:tcPr>
            <w:tcW w:w="1100" w:type="dxa"/>
            <w:gridSpan w:val="2"/>
            <w:vAlign w:val="top"/>
          </w:tcPr>
          <w:p>
            <w:pPr>
              <w:pStyle w:val="15"/>
              <w:spacing w:before="6" w:line="199" w:lineRule="exact"/>
              <w:ind w:left="10"/>
              <w:jc w:val="center"/>
              <w:rPr>
                <w:sz w:val="16"/>
                <w:szCs w:val="16"/>
              </w:rPr>
            </w:pPr>
            <w:r>
              <w:rPr>
                <w:sz w:val="16"/>
                <w:szCs w:val="16"/>
              </w:rPr>
              <w:t>—</w:t>
            </w:r>
          </w:p>
        </w:tc>
        <w:tc>
          <w:tcPr>
            <w:tcW w:w="825" w:type="dxa"/>
            <w:gridSpan w:val="2"/>
            <w:vAlign w:val="top"/>
          </w:tcPr>
          <w:p>
            <w:pPr>
              <w:pStyle w:val="15"/>
              <w:rPr>
                <w:rFonts w:ascii="Times New Roman"/>
                <w:sz w:val="16"/>
                <w:szCs w:val="16"/>
              </w:rPr>
            </w:pPr>
          </w:p>
        </w:tc>
        <w:tc>
          <w:tcPr>
            <w:tcW w:w="945" w:type="dxa"/>
            <w:vAlign w:val="top"/>
          </w:tcPr>
          <w:p>
            <w:pPr>
              <w:pStyle w:val="15"/>
              <w:spacing w:before="6" w:line="199" w:lineRule="exact"/>
              <w:ind w:right="4"/>
              <w:jc w:val="center"/>
              <w:rPr>
                <w:sz w:val="16"/>
                <w:szCs w:val="16"/>
              </w:rPr>
            </w:pPr>
            <w:r>
              <w:rPr>
                <w:sz w:val="16"/>
                <w:szCs w:val="16"/>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465" w:type="dxa"/>
            <w:vMerge w:val="restart"/>
            <w:vAlign w:val="top"/>
          </w:tcPr>
          <w:p>
            <w:pPr>
              <w:pStyle w:val="15"/>
              <w:spacing w:before="2"/>
              <w:rPr>
                <w:sz w:val="16"/>
                <w:szCs w:val="16"/>
              </w:rPr>
            </w:pPr>
          </w:p>
          <w:p>
            <w:pPr>
              <w:pStyle w:val="15"/>
              <w:spacing w:line="244" w:lineRule="auto"/>
              <w:ind w:left="67" w:right="55"/>
              <w:jc w:val="both"/>
              <w:rPr>
                <w:sz w:val="16"/>
                <w:szCs w:val="16"/>
              </w:rPr>
            </w:pPr>
            <w:r>
              <w:rPr>
                <w:sz w:val="16"/>
                <w:szCs w:val="16"/>
              </w:rPr>
              <w:t>年度总体目标</w:t>
            </w:r>
          </w:p>
        </w:tc>
        <w:tc>
          <w:tcPr>
            <w:tcW w:w="5185" w:type="dxa"/>
            <w:gridSpan w:val="7"/>
            <w:vAlign w:val="top"/>
          </w:tcPr>
          <w:p>
            <w:pPr>
              <w:pStyle w:val="15"/>
              <w:spacing w:before="21"/>
              <w:ind w:right="2370"/>
              <w:jc w:val="center"/>
              <w:rPr>
                <w:sz w:val="16"/>
                <w:szCs w:val="16"/>
              </w:rPr>
            </w:pPr>
            <w:r>
              <w:rPr>
                <w:rFonts w:hint="eastAsia"/>
                <w:sz w:val="16"/>
                <w:szCs w:val="16"/>
                <w:lang w:val="en-US" w:eastAsia="zh-CN"/>
              </w:rPr>
              <w:t xml:space="preserve">                      </w:t>
            </w:r>
            <w:r>
              <w:rPr>
                <w:sz w:val="16"/>
                <w:szCs w:val="16"/>
              </w:rPr>
              <w:t>预期目标</w:t>
            </w:r>
          </w:p>
        </w:tc>
        <w:tc>
          <w:tcPr>
            <w:tcW w:w="4310" w:type="dxa"/>
            <w:gridSpan w:val="7"/>
            <w:vAlign w:val="center"/>
          </w:tcPr>
          <w:p>
            <w:pPr>
              <w:pStyle w:val="15"/>
              <w:spacing w:before="21"/>
              <w:ind w:left="1515" w:right="1519"/>
              <w:jc w:val="center"/>
              <w:rPr>
                <w:sz w:val="16"/>
                <w:szCs w:val="16"/>
              </w:rPr>
            </w:pPr>
            <w:r>
              <w:rPr>
                <w:sz w:val="16"/>
                <w:szCs w:val="16"/>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465" w:type="dxa"/>
            <w:vMerge w:val="continue"/>
            <w:tcBorders>
              <w:top w:val="nil"/>
            </w:tcBorders>
            <w:vAlign w:val="top"/>
          </w:tcPr>
          <w:p>
            <w:pPr>
              <w:rPr>
                <w:sz w:val="16"/>
                <w:szCs w:val="16"/>
              </w:rPr>
            </w:pPr>
          </w:p>
        </w:tc>
        <w:tc>
          <w:tcPr>
            <w:tcW w:w="5185" w:type="dxa"/>
            <w:gridSpan w:val="7"/>
            <w:vAlign w:val="top"/>
          </w:tcPr>
          <w:p>
            <w:pPr>
              <w:pStyle w:val="15"/>
              <w:keepNext w:val="0"/>
              <w:keepLines w:val="0"/>
              <w:pageBreakBefore w:val="0"/>
              <w:widowControl w:val="0"/>
              <w:kinsoku/>
              <w:wordWrap/>
              <w:overflowPunct/>
              <w:topLinePunct w:val="0"/>
              <w:autoSpaceDE w:val="0"/>
              <w:autoSpaceDN w:val="0"/>
              <w:bidi w:val="0"/>
              <w:adjustRightInd/>
              <w:snapToGrid/>
              <w:spacing w:before="0" w:after="0" w:line="240" w:lineRule="exact"/>
              <w:ind w:left="40" w:leftChars="0" w:right="113" w:rightChars="0" w:firstLine="0" w:firstLineChars="0"/>
              <w:jc w:val="both"/>
              <w:textAlignment w:val="auto"/>
              <w:outlineLvl w:val="9"/>
              <w:rPr>
                <w:rFonts w:hint="eastAsia" w:ascii="宋体" w:hAnsi="宋体" w:cs="宋体"/>
                <w:i w:val="0"/>
                <w:caps w:val="0"/>
                <w:color w:val="000000"/>
                <w:spacing w:val="0"/>
                <w:sz w:val="16"/>
                <w:szCs w:val="16"/>
                <w:shd w:val="clear" w:color="auto" w:fill="FFFFFF"/>
                <w:lang w:eastAsia="zh-CN"/>
              </w:rPr>
            </w:pPr>
            <w:r>
              <w:rPr>
                <w:rFonts w:hint="eastAsia" w:ascii="宋体" w:hAnsi="宋体" w:cs="宋体"/>
                <w:i w:val="0"/>
                <w:caps w:val="0"/>
                <w:color w:val="000000"/>
                <w:spacing w:val="0"/>
                <w:sz w:val="16"/>
                <w:szCs w:val="16"/>
                <w:shd w:val="clear" w:color="auto" w:fill="FFFFFF"/>
                <w:lang w:eastAsia="zh-CN"/>
              </w:rPr>
              <w:t>围绕健康中卫建设，健全应急救护机制，不断提高全民自救互救能力，传播“人人学急救，急救为人人”的理念；增强人道救助能力 ，为困难群众、受灾群众及时得到救助提供保障；开展造血干细胞捐献、无偿献血、人体和遗体器官捐献宣传动员等工作，传播人道理念，规范捐献服务管理，提高捐献配型率与成功率。</w:t>
            </w:r>
          </w:p>
        </w:tc>
        <w:tc>
          <w:tcPr>
            <w:tcW w:w="4310" w:type="dxa"/>
            <w:gridSpan w:val="7"/>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220" w:lineRule="exact"/>
              <w:ind w:left="0" w:leftChars="0" w:right="0" w:rightChars="0" w:firstLine="0" w:firstLineChars="0"/>
              <w:jc w:val="both"/>
              <w:textAlignment w:val="auto"/>
              <w:outlineLvl w:val="9"/>
              <w:rPr>
                <w:rFonts w:hint="eastAsia" w:eastAsia="宋体"/>
                <w:sz w:val="16"/>
                <w:szCs w:val="16"/>
                <w:lang w:eastAsia="zh-CN"/>
              </w:rPr>
            </w:pPr>
            <w:r>
              <w:rPr>
                <w:rFonts w:hint="eastAsia"/>
                <w:sz w:val="16"/>
                <w:szCs w:val="16"/>
              </w:rPr>
              <w:t>开展应急救护培训“六进”活动，普及性培训51场，受益人次达13746人，任务完成率达183.3%；取证培训124场，受益人数5536人，任务完成率124.7%。新增培训师资98名</w:t>
            </w:r>
            <w:r>
              <w:rPr>
                <w:rFonts w:hint="eastAsia"/>
                <w:sz w:val="16"/>
                <w:szCs w:val="16"/>
                <w:lang w:eastAsia="zh-CN"/>
              </w:rPr>
              <w:t>。开展造血干细胞采集宣传活动30余场次，共采集造血干细胞血样309人份，成功捐献造血干细胞3例，挽救3名血液病患者生命。年内新增人体器官捐献志愿登记447人，遗体捐献1例，角膜捐献2片，生命接力行动稳步向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465" w:type="dxa"/>
            <w:vMerge w:val="restart"/>
            <w:vAlign w:val="top"/>
          </w:tcPr>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rPr>
                <w:sz w:val="16"/>
                <w:szCs w:val="16"/>
              </w:rPr>
            </w:pPr>
          </w:p>
          <w:p>
            <w:pPr>
              <w:pStyle w:val="15"/>
              <w:spacing w:before="1"/>
              <w:rPr>
                <w:sz w:val="16"/>
                <w:szCs w:val="16"/>
              </w:rPr>
            </w:pPr>
          </w:p>
          <w:p>
            <w:pPr>
              <w:pStyle w:val="15"/>
              <w:spacing w:line="244" w:lineRule="auto"/>
              <w:ind w:left="142" w:right="145"/>
              <w:jc w:val="both"/>
              <w:rPr>
                <w:sz w:val="16"/>
                <w:szCs w:val="16"/>
              </w:rPr>
            </w:pPr>
            <w:r>
              <w:rPr>
                <w:sz w:val="16"/>
                <w:szCs w:val="16"/>
              </w:rPr>
              <w:t>绩效指标</w:t>
            </w:r>
          </w:p>
        </w:tc>
        <w:tc>
          <w:tcPr>
            <w:tcW w:w="589"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52" w:right="40" w:firstLine="0" w:firstLineChars="0"/>
              <w:jc w:val="center"/>
              <w:textAlignment w:val="auto"/>
              <w:outlineLvl w:val="9"/>
              <w:rPr>
                <w:sz w:val="16"/>
                <w:szCs w:val="16"/>
              </w:rPr>
            </w:pPr>
            <w:r>
              <w:rPr>
                <w:sz w:val="16"/>
                <w:szCs w:val="16"/>
              </w:rPr>
              <w:t>一级指标</w:t>
            </w:r>
          </w:p>
        </w:tc>
        <w:tc>
          <w:tcPr>
            <w:tcW w:w="828"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59" w:firstLine="0" w:firstLineChars="0"/>
              <w:jc w:val="center"/>
              <w:textAlignment w:val="auto"/>
              <w:outlineLvl w:val="9"/>
              <w:rPr>
                <w:sz w:val="16"/>
                <w:szCs w:val="16"/>
              </w:rPr>
            </w:pPr>
            <w:r>
              <w:rPr>
                <w:sz w:val="16"/>
                <w:szCs w:val="16"/>
              </w:rPr>
              <w:t>二级指标</w:t>
            </w:r>
          </w:p>
        </w:tc>
        <w:tc>
          <w:tcPr>
            <w:tcW w:w="2820" w:type="dxa"/>
            <w:gridSpan w:val="3"/>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1290" w:firstLine="0" w:firstLineChars="0"/>
              <w:jc w:val="center"/>
              <w:textAlignment w:val="auto"/>
              <w:outlineLvl w:val="9"/>
              <w:rPr>
                <w:sz w:val="16"/>
                <w:szCs w:val="16"/>
              </w:rPr>
            </w:pPr>
            <w:r>
              <w:rPr>
                <w:rFonts w:hint="eastAsia"/>
                <w:sz w:val="16"/>
                <w:szCs w:val="16"/>
                <w:lang w:val="en-US" w:eastAsia="zh-CN"/>
              </w:rPr>
              <w:t xml:space="preserve">          </w:t>
            </w:r>
            <w:r>
              <w:rPr>
                <w:sz w:val="16"/>
                <w:szCs w:val="16"/>
              </w:rPr>
              <w:t>三级指标</w:t>
            </w:r>
          </w:p>
        </w:tc>
        <w:tc>
          <w:tcPr>
            <w:tcW w:w="948" w:type="dxa"/>
            <w:vAlign w:val="center"/>
          </w:tcPr>
          <w:p>
            <w:pPr>
              <w:pStyle w:val="15"/>
              <w:keepNext w:val="0"/>
              <w:keepLines w:val="0"/>
              <w:pageBreakBefore w:val="0"/>
              <w:widowControl w:val="0"/>
              <w:kinsoku/>
              <w:wordWrap/>
              <w:overflowPunct/>
              <w:topLinePunct w:val="0"/>
              <w:bidi w:val="0"/>
              <w:adjustRightInd/>
              <w:snapToGrid/>
              <w:spacing w:before="0" w:after="0" w:line="200" w:lineRule="exact"/>
              <w:jc w:val="center"/>
              <w:textAlignment w:val="auto"/>
              <w:outlineLvl w:val="9"/>
              <w:rPr>
                <w:sz w:val="16"/>
                <w:szCs w:val="16"/>
              </w:rPr>
            </w:pPr>
            <w:r>
              <w:rPr>
                <w:sz w:val="16"/>
                <w:szCs w:val="16"/>
              </w:rPr>
              <w:t>年度指标值</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jc w:val="center"/>
              <w:textAlignment w:val="auto"/>
              <w:outlineLvl w:val="9"/>
              <w:rPr>
                <w:sz w:val="16"/>
                <w:szCs w:val="16"/>
              </w:rPr>
            </w:pPr>
            <w:r>
              <w:rPr>
                <w:sz w:val="16"/>
                <w:szCs w:val="16"/>
              </w:rPr>
              <w:t>实际完成值</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jc w:val="center"/>
              <w:textAlignment w:val="auto"/>
              <w:outlineLvl w:val="9"/>
              <w:rPr>
                <w:sz w:val="16"/>
                <w:szCs w:val="16"/>
              </w:rPr>
            </w:pPr>
            <w:r>
              <w:rPr>
                <w:sz w:val="16"/>
                <w:szCs w:val="16"/>
              </w:rPr>
              <w:t>分值</w:t>
            </w:r>
          </w:p>
        </w:tc>
        <w:tc>
          <w:tcPr>
            <w:tcW w:w="919"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jc w:val="center"/>
              <w:textAlignment w:val="auto"/>
              <w:outlineLvl w:val="9"/>
              <w:rPr>
                <w:sz w:val="16"/>
                <w:szCs w:val="16"/>
              </w:rPr>
            </w:pPr>
            <w:r>
              <w:rPr>
                <w:sz w:val="16"/>
                <w:szCs w:val="16"/>
              </w:rPr>
              <w:t>得分</w:t>
            </w:r>
          </w:p>
        </w:tc>
        <w:tc>
          <w:tcPr>
            <w:tcW w:w="1601"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85" w:firstLine="0" w:firstLineChars="0"/>
              <w:jc w:val="center"/>
              <w:textAlignment w:val="auto"/>
              <w:outlineLvl w:val="9"/>
              <w:rPr>
                <w:sz w:val="16"/>
                <w:szCs w:val="16"/>
              </w:rPr>
            </w:pPr>
            <w:r>
              <w:rPr>
                <w:sz w:val="16"/>
                <w:szCs w:val="16"/>
              </w:rPr>
              <w:t>偏差原因分析及改进措施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65" w:type="dxa"/>
            <w:vMerge w:val="continue"/>
            <w:tcBorders>
              <w:top w:val="nil"/>
            </w:tcBorders>
            <w:vAlign w:val="top"/>
          </w:tcPr>
          <w:p>
            <w:pPr>
              <w:rPr>
                <w:sz w:val="16"/>
                <w:szCs w:val="16"/>
              </w:rPr>
            </w:pPr>
          </w:p>
        </w:tc>
        <w:tc>
          <w:tcPr>
            <w:tcW w:w="589" w:type="dxa"/>
            <w:vMerge w:val="restart"/>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left="127" w:right="130" w:firstLine="0" w:firstLineChars="0"/>
              <w:jc w:val="center"/>
              <w:textAlignment w:val="auto"/>
              <w:outlineLvl w:val="9"/>
              <w:rPr>
                <w:sz w:val="16"/>
                <w:szCs w:val="16"/>
              </w:rPr>
            </w:pPr>
            <w:r>
              <w:rPr>
                <w:sz w:val="16"/>
                <w:szCs w:val="16"/>
              </w:rPr>
              <w:t>产出指标</w:t>
            </w:r>
          </w:p>
          <w:p>
            <w:pPr>
              <w:pStyle w:val="15"/>
              <w:keepNext w:val="0"/>
              <w:keepLines w:val="0"/>
              <w:pageBreakBefore w:val="0"/>
              <w:widowControl w:val="0"/>
              <w:kinsoku/>
              <w:wordWrap/>
              <w:overflowPunct/>
              <w:topLinePunct w:val="0"/>
              <w:bidi w:val="0"/>
              <w:adjustRightInd/>
              <w:snapToGrid/>
              <w:spacing w:before="0" w:after="0" w:line="200" w:lineRule="exact"/>
              <w:ind w:left="52" w:right="40" w:firstLine="0" w:firstLineChars="0"/>
              <w:jc w:val="center"/>
              <w:textAlignment w:val="auto"/>
              <w:outlineLvl w:val="9"/>
              <w:rPr>
                <w:sz w:val="16"/>
                <w:szCs w:val="16"/>
              </w:rPr>
            </w:pPr>
            <w:r>
              <w:rPr>
                <w:spacing w:val="5"/>
                <w:sz w:val="16"/>
                <w:szCs w:val="16"/>
              </w:rPr>
              <w:t>（</w:t>
            </w:r>
            <w:r>
              <w:rPr>
                <w:rFonts w:hint="eastAsia"/>
                <w:spacing w:val="5"/>
                <w:sz w:val="16"/>
                <w:szCs w:val="16"/>
                <w:lang w:val="en-US" w:eastAsia="zh-CN"/>
              </w:rPr>
              <w:t>4</w:t>
            </w:r>
            <w:r>
              <w:rPr>
                <w:spacing w:val="5"/>
                <w:sz w:val="16"/>
                <w:szCs w:val="16"/>
              </w:rPr>
              <w:t>0 分</w:t>
            </w:r>
            <w:r>
              <w:rPr>
                <w:spacing w:val="-17"/>
                <w:sz w:val="16"/>
                <w:szCs w:val="16"/>
              </w:rPr>
              <w:t>）</w:t>
            </w:r>
          </w:p>
        </w:tc>
        <w:tc>
          <w:tcPr>
            <w:tcW w:w="828" w:type="dxa"/>
            <w:gridSpan w:val="2"/>
            <w:vMerge w:val="restart"/>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r>
              <w:rPr>
                <w:sz w:val="16"/>
                <w:szCs w:val="16"/>
              </w:rPr>
              <w:t>数量指标</w:t>
            </w: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ascii="宋体" w:hAnsi="宋体" w:eastAsia="宋体" w:cs="宋体"/>
                <w:sz w:val="16"/>
                <w:szCs w:val="16"/>
                <w:lang w:val="zh-CN" w:eastAsia="zh-CN" w:bidi="zh-CN"/>
              </w:rPr>
            </w:pPr>
            <w:r>
              <w:rPr>
                <w:rFonts w:hint="default" w:ascii="Times New Roman" w:hAnsi="Times New Roman" w:eastAsia="宋体" w:cs="Times New Roman"/>
                <w:i w:val="0"/>
                <w:caps w:val="0"/>
                <w:color w:val="000000"/>
                <w:spacing w:val="0"/>
                <w:sz w:val="16"/>
                <w:szCs w:val="16"/>
                <w:shd w:val="clear" w:color="auto" w:fill="FFFFFF"/>
              </w:rPr>
              <w:t>实施人道救助，做好自然灾害等突发公共事件应急救灾工作，确保困难群众生活得到保障</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zh-CN" w:eastAsia="zh-CN" w:bidi="zh-CN"/>
              </w:rPr>
            </w:pPr>
            <w:r>
              <w:rPr>
                <w:rFonts w:hint="eastAsia" w:ascii="宋体" w:hAnsi="宋体" w:eastAsia="宋体" w:cs="宋体"/>
                <w:sz w:val="16"/>
                <w:szCs w:val="16"/>
                <w:lang w:val="en-US" w:eastAsia="zh-CN" w:bidi="zh-CN"/>
              </w:rPr>
              <w:t>3000</w:t>
            </w:r>
            <w:r>
              <w:rPr>
                <w:rFonts w:hint="default" w:ascii="宋体" w:hAnsi="宋体" w:eastAsia="宋体" w:cs="宋体"/>
                <w:sz w:val="16"/>
                <w:szCs w:val="16"/>
                <w:lang w:val="zh-CN" w:eastAsia="zh-CN" w:bidi="zh-CN"/>
              </w:rPr>
              <w:t>人次</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sz w:val="16"/>
                <w:szCs w:val="16"/>
                <w:lang w:val="en-US" w:eastAsia="zh-CN" w:bidi="zh-CN"/>
              </w:rPr>
            </w:pPr>
            <w:r>
              <w:rPr>
                <w:rFonts w:hint="eastAsia" w:cs="宋体"/>
                <w:sz w:val="16"/>
                <w:szCs w:val="16"/>
                <w:lang w:val="en-US" w:eastAsia="zh-CN" w:bidi="zh-CN"/>
              </w:rPr>
              <w:t>100</w:t>
            </w:r>
            <w:r>
              <w:rPr>
                <w:rFonts w:hint="eastAsia" w:ascii="宋体" w:hAnsi="宋体" w:eastAsia="宋体" w:cs="宋体"/>
                <w:sz w:val="16"/>
                <w:szCs w:val="16"/>
                <w:lang w:val="en-US" w:eastAsia="zh-CN" w:bidi="zh-CN"/>
              </w:rPr>
              <w:t>%</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1601"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hint="eastAsia" w:eastAsia="宋体"/>
                <w:sz w:val="16"/>
                <w:szCs w:val="16"/>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65" w:type="dxa"/>
            <w:vMerge w:val="continue"/>
            <w:tcBorders>
              <w:top w:val="nil"/>
            </w:tcBorders>
            <w:vAlign w:val="top"/>
          </w:tcPr>
          <w:p>
            <w:pPr>
              <w:rPr>
                <w:sz w:val="16"/>
                <w:szCs w:val="16"/>
              </w:rPr>
            </w:pPr>
          </w:p>
        </w:tc>
        <w:tc>
          <w:tcPr>
            <w:tcW w:w="589" w:type="dxa"/>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52" w:right="40" w:firstLine="0" w:firstLineChars="0"/>
              <w:textAlignment w:val="auto"/>
              <w:outlineLvl w:val="9"/>
              <w:rPr>
                <w:spacing w:val="5"/>
                <w:sz w:val="16"/>
                <w:szCs w:val="16"/>
              </w:rPr>
            </w:pPr>
          </w:p>
        </w:tc>
        <w:tc>
          <w:tcPr>
            <w:tcW w:w="828" w:type="dxa"/>
            <w:gridSpan w:val="2"/>
            <w:vMerge w:val="continue"/>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Times New Roman" w:hAnsi="Times New Roman" w:eastAsia="宋体" w:cs="Times New Roman"/>
                <w:i w:val="0"/>
                <w:caps w:val="0"/>
                <w:color w:val="000000"/>
                <w:spacing w:val="0"/>
                <w:sz w:val="16"/>
                <w:szCs w:val="16"/>
                <w:shd w:val="clear" w:color="auto" w:fill="FFFFFF"/>
              </w:rPr>
            </w:pPr>
            <w:r>
              <w:rPr>
                <w:rFonts w:hint="default" w:ascii="Times New Roman" w:hAnsi="Times New Roman" w:eastAsia="宋体" w:cs="Times New Roman"/>
                <w:i w:val="0"/>
                <w:caps w:val="0"/>
                <w:color w:val="000000"/>
                <w:spacing w:val="0"/>
                <w:sz w:val="16"/>
                <w:szCs w:val="16"/>
                <w:shd w:val="clear" w:color="auto" w:fill="FFFFFF"/>
              </w:rPr>
              <w:t>年内完成</w:t>
            </w:r>
            <w:r>
              <w:rPr>
                <w:rFonts w:hint="eastAsia" w:ascii="Times New Roman" w:hAnsi="Times New Roman" w:eastAsia="宋体" w:cs="Times New Roman"/>
                <w:i w:val="0"/>
                <w:caps w:val="0"/>
                <w:color w:val="000000"/>
                <w:spacing w:val="0"/>
                <w:sz w:val="16"/>
                <w:szCs w:val="16"/>
                <w:shd w:val="clear" w:color="auto" w:fill="FFFFFF"/>
                <w:lang w:val="en-US" w:eastAsia="zh-CN"/>
              </w:rPr>
              <w:t>300</w:t>
            </w:r>
            <w:r>
              <w:rPr>
                <w:rFonts w:hint="default" w:ascii="Times New Roman" w:hAnsi="Times New Roman" w:eastAsia="宋体" w:cs="Times New Roman"/>
                <w:i w:val="0"/>
                <w:caps w:val="0"/>
                <w:color w:val="000000"/>
                <w:spacing w:val="0"/>
                <w:sz w:val="16"/>
                <w:szCs w:val="16"/>
                <w:shd w:val="clear" w:color="auto" w:fill="FFFFFF"/>
              </w:rPr>
              <w:t>份造血干细胞血样采集任务</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en-US" w:eastAsia="zh-CN" w:bidi="zh-CN"/>
              </w:rPr>
            </w:pPr>
            <w:r>
              <w:rPr>
                <w:rFonts w:hint="eastAsia" w:ascii="宋体" w:hAnsi="宋体" w:eastAsia="宋体" w:cs="宋体"/>
                <w:sz w:val="16"/>
                <w:szCs w:val="16"/>
                <w:lang w:val="en-US" w:eastAsia="zh-CN" w:bidi="zh-CN"/>
              </w:rPr>
              <w:t>300份</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sz w:val="16"/>
                <w:szCs w:val="16"/>
                <w:lang w:val="en-US" w:eastAsia="zh-CN" w:bidi="zh-CN"/>
              </w:rPr>
            </w:pPr>
            <w:r>
              <w:rPr>
                <w:rFonts w:hint="eastAsia" w:cs="宋体"/>
                <w:sz w:val="16"/>
                <w:szCs w:val="16"/>
                <w:lang w:val="en-US" w:eastAsia="zh-CN" w:bidi="zh-CN"/>
              </w:rPr>
              <w:t>100%</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eastAsia="宋体" w:cs="Times New Roman"/>
                <w:kern w:val="2"/>
                <w:sz w:val="16"/>
                <w:szCs w:val="16"/>
                <w:lang w:val="en-US" w:eastAsia="zh-CN" w:bidi="zh-CN"/>
              </w:rPr>
              <w:t>2.5</w:t>
            </w:r>
          </w:p>
        </w:tc>
        <w:tc>
          <w:tcPr>
            <w:tcW w:w="1601"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hint="eastAsia" w:ascii="宋体" w:hAnsi="宋体" w:eastAsia="宋体" w:cs="宋体"/>
                <w:sz w:val="16"/>
                <w:szCs w:val="16"/>
                <w:lang w:eastAsia="zh-CN"/>
              </w:rPr>
            </w:pPr>
            <w:bookmarkStart w:id="0" w:name="_GoBack"/>
            <w:bookmarkEnd w:id="0"/>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center"/>
          </w:tcPr>
          <w:p>
            <w:pPr>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ascii="宋体" w:hAnsi="宋体" w:eastAsia="宋体" w:cs="宋体"/>
                <w:sz w:val="16"/>
                <w:szCs w:val="16"/>
                <w:lang w:val="zh-CN" w:eastAsia="zh-CN" w:bidi="zh-CN"/>
              </w:rPr>
            </w:pPr>
            <w:r>
              <w:rPr>
                <w:rFonts w:hint="default" w:ascii="Times New Roman" w:hAnsi="Times New Roman" w:eastAsia="宋体" w:cs="Times New Roman"/>
                <w:i w:val="0"/>
                <w:caps w:val="0"/>
                <w:color w:val="000000"/>
                <w:spacing w:val="0"/>
                <w:sz w:val="16"/>
                <w:szCs w:val="16"/>
                <w:shd w:val="clear" w:color="auto" w:fill="FFFFFF"/>
              </w:rPr>
              <w:t>宣传与推动红十字应急救护培训工作，确保年内举办心肺复苏（CPR+AED) 救护培训及普及性应急救护培训讲座</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zh-CN" w:eastAsia="zh-CN" w:bidi="zh-CN"/>
              </w:rPr>
            </w:pPr>
            <w:r>
              <w:rPr>
                <w:rFonts w:hint="eastAsia" w:ascii="宋体" w:hAnsi="宋体" w:eastAsia="宋体" w:cs="宋体"/>
                <w:i w:val="0"/>
                <w:caps w:val="0"/>
                <w:color w:val="000000"/>
                <w:spacing w:val="0"/>
                <w:sz w:val="16"/>
                <w:szCs w:val="16"/>
                <w:shd w:val="clear" w:color="auto" w:fill="FFFFFF"/>
                <w:lang w:val="en-US" w:eastAsia="zh-CN"/>
              </w:rPr>
              <w:t>取证培训40期，1600人，普及性培训2000人</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sz w:val="16"/>
                <w:szCs w:val="16"/>
                <w:lang w:val="zh-CN" w:eastAsia="zh-CN" w:bidi="zh-CN"/>
              </w:rPr>
            </w:pPr>
            <w:r>
              <w:rPr>
                <w:rFonts w:hint="eastAsia" w:cs="宋体"/>
                <w:sz w:val="16"/>
                <w:szCs w:val="16"/>
                <w:lang w:val="en-US" w:eastAsia="zh-CN" w:bidi="zh-CN"/>
              </w:rPr>
              <w:t>100</w:t>
            </w:r>
            <w:r>
              <w:rPr>
                <w:rFonts w:hint="default" w:ascii="宋体" w:hAnsi="宋体" w:eastAsia="宋体" w:cs="宋体"/>
                <w:sz w:val="16"/>
                <w:szCs w:val="16"/>
                <w:lang w:val="zh-CN" w:eastAsia="zh-CN" w:bidi="zh-CN"/>
              </w:rPr>
              <w:t>%</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1601"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hint="eastAsia" w:ascii="宋体" w:hAnsi="宋体" w:eastAsia="宋体" w:cs="宋体"/>
                <w:sz w:val="16"/>
                <w:szCs w:val="16"/>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center"/>
          </w:tcPr>
          <w:p>
            <w:pPr>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ascii="宋体" w:hAnsi="宋体" w:eastAsia="宋体" w:cs="宋体"/>
                <w:sz w:val="16"/>
                <w:szCs w:val="16"/>
                <w:lang w:val="zh-CN" w:eastAsia="zh-CN" w:bidi="zh-CN"/>
              </w:rPr>
            </w:pPr>
            <w:r>
              <w:rPr>
                <w:rFonts w:hint="default" w:ascii="Times New Roman" w:hAnsi="Times New Roman" w:eastAsia="宋体" w:cs="Times New Roman"/>
                <w:i w:val="0"/>
                <w:caps w:val="0"/>
                <w:color w:val="000000"/>
                <w:spacing w:val="0"/>
                <w:sz w:val="16"/>
                <w:szCs w:val="16"/>
                <w:shd w:val="clear" w:color="auto" w:fill="FFFFFF"/>
              </w:rPr>
              <w:t>宣传推动做好眼角膜、遗体器官捐献志愿者登记服务工作。</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zh-CN" w:eastAsia="zh-CN" w:bidi="zh-CN"/>
              </w:rPr>
            </w:pPr>
            <w:r>
              <w:rPr>
                <w:rFonts w:hint="eastAsia" w:ascii="宋体" w:hAnsi="宋体" w:eastAsia="宋体" w:cs="宋体"/>
                <w:sz w:val="16"/>
                <w:szCs w:val="16"/>
                <w:lang w:val="en-US" w:eastAsia="zh-CN" w:bidi="zh-CN"/>
              </w:rPr>
              <w:t>年内登记300人</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zh-CN" w:eastAsia="zh-CN" w:bidi="zh-CN"/>
              </w:rPr>
            </w:pPr>
            <w:r>
              <w:rPr>
                <w:rFonts w:hint="default" w:ascii="宋体" w:hAnsi="宋体" w:eastAsia="宋体" w:cs="宋体"/>
                <w:sz w:val="16"/>
                <w:szCs w:val="16"/>
                <w:lang w:val="zh-CN" w:eastAsia="zh-CN" w:bidi="zh-CN"/>
              </w:rPr>
              <w:t>100%</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2.5</w:t>
            </w:r>
          </w:p>
        </w:tc>
        <w:tc>
          <w:tcPr>
            <w:tcW w:w="1601"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restart"/>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r>
              <w:rPr>
                <w:sz w:val="16"/>
                <w:szCs w:val="16"/>
              </w:rPr>
              <w:t>质量指标</w:t>
            </w: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sz w:val="16"/>
                <w:szCs w:val="16"/>
                <w:lang w:val="zh-CN" w:eastAsia="zh-CN" w:bidi="zh-CN"/>
              </w:rPr>
            </w:pPr>
            <w:r>
              <w:rPr>
                <w:rFonts w:hint="eastAsia" w:ascii="宋体" w:hAnsi="宋体" w:eastAsia="宋体" w:cs="宋体"/>
                <w:i w:val="0"/>
                <w:caps w:val="0"/>
                <w:color w:val="000000"/>
                <w:spacing w:val="0"/>
                <w:sz w:val="16"/>
                <w:szCs w:val="16"/>
                <w:shd w:val="clear" w:color="auto" w:fill="FFFFFF"/>
              </w:rPr>
              <w:t>对全市特困群众实施救助，包括助困、助学、助残等</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zh-CN" w:eastAsia="zh-CN" w:bidi="zh-CN"/>
              </w:rPr>
            </w:pPr>
            <w:r>
              <w:rPr>
                <w:rFonts w:hint="eastAsia" w:ascii="宋体" w:hAnsi="宋体" w:eastAsia="宋体" w:cs="宋体"/>
                <w:sz w:val="16"/>
                <w:szCs w:val="16"/>
                <w:lang w:val="en-US" w:eastAsia="zh-CN" w:bidi="zh-CN"/>
              </w:rPr>
              <w:t>30人次</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sz w:val="16"/>
                <w:szCs w:val="16"/>
                <w:lang w:val="zh-CN" w:eastAsia="zh-CN" w:bidi="zh-CN"/>
              </w:rPr>
            </w:pPr>
            <w:r>
              <w:rPr>
                <w:rFonts w:hint="eastAsia" w:ascii="宋体" w:hAnsi="宋体" w:eastAsia="宋体" w:cs="宋体"/>
                <w:sz w:val="16"/>
                <w:szCs w:val="16"/>
                <w:lang w:val="en-US" w:eastAsia="zh-CN" w:bidi="zh-CN"/>
              </w:rPr>
              <w:t>100</w:t>
            </w:r>
            <w:r>
              <w:rPr>
                <w:rFonts w:hint="default" w:ascii="宋体" w:hAnsi="宋体" w:eastAsia="宋体" w:cs="宋体"/>
                <w:sz w:val="16"/>
                <w:szCs w:val="16"/>
                <w:lang w:val="zh-CN" w:eastAsia="zh-CN" w:bidi="zh-CN"/>
              </w:rPr>
              <w:t>%</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zh-CN" w:eastAsia="zh-CN" w:bidi="zh-CN"/>
              </w:rPr>
            </w:pPr>
            <w:r>
              <w:rPr>
                <w:rFonts w:hint="eastAsia" w:ascii="Times New Roman" w:hAnsi="Times New Roman" w:cs="Times New Roman"/>
                <w:kern w:val="2"/>
                <w:sz w:val="16"/>
                <w:szCs w:val="16"/>
                <w:lang w:val="en-US" w:eastAsia="zh-CN" w:bidi="zh-CN"/>
              </w:rPr>
              <w:t>4</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eastAsia="宋体" w:cs="Times New Roman"/>
                <w:kern w:val="2"/>
                <w:sz w:val="16"/>
                <w:szCs w:val="16"/>
                <w:lang w:val="en-US" w:eastAsia="zh-CN" w:bidi="zh-CN"/>
              </w:rPr>
              <w:t>4</w:t>
            </w:r>
          </w:p>
        </w:tc>
        <w:tc>
          <w:tcPr>
            <w:tcW w:w="1601"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tcBorders>
              <w:top w:val="nil"/>
            </w:tcBorders>
            <w:vAlign w:val="center"/>
          </w:tcPr>
          <w:p>
            <w:pPr>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p>
        </w:tc>
        <w:tc>
          <w:tcPr>
            <w:tcW w:w="2820" w:type="dxa"/>
            <w:gridSpan w:val="3"/>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hint="default" w:ascii="宋体" w:hAnsi="宋体" w:eastAsia="宋体" w:cs="宋体"/>
                <w:sz w:val="16"/>
                <w:szCs w:val="16"/>
                <w:lang w:val="zh-CN" w:eastAsia="zh-CN" w:bidi="zh-CN"/>
              </w:rPr>
            </w:pPr>
            <w:r>
              <w:rPr>
                <w:rFonts w:hint="eastAsia" w:ascii="宋体" w:hAnsi="宋体" w:eastAsia="宋体" w:cs="宋体"/>
                <w:i w:val="0"/>
                <w:caps w:val="0"/>
                <w:color w:val="000000"/>
                <w:spacing w:val="0"/>
                <w:sz w:val="16"/>
                <w:szCs w:val="16"/>
                <w:shd w:val="clear" w:color="auto" w:fill="FFFFFF"/>
              </w:rPr>
              <w:t>宣传与推动造血干细胞捐献知识、无偿献血知识</w:t>
            </w:r>
          </w:p>
        </w:tc>
        <w:tc>
          <w:tcPr>
            <w:tcW w:w="948"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100%</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100%</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kern w:val="2"/>
                <w:sz w:val="16"/>
                <w:szCs w:val="16"/>
                <w:lang w:val="zh-CN" w:eastAsia="zh-CN" w:bidi="zh-CN"/>
              </w:rPr>
            </w:pPr>
            <w:r>
              <w:rPr>
                <w:rFonts w:hint="eastAsia" w:ascii="Times New Roman" w:hAnsi="Times New Roman" w:cs="Times New Roman"/>
                <w:kern w:val="2"/>
                <w:sz w:val="16"/>
                <w:szCs w:val="16"/>
                <w:lang w:val="en-US" w:eastAsia="zh-CN" w:bidi="zh-CN"/>
              </w:rPr>
              <w:t>4</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4</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465" w:type="dxa"/>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589" w:type="dxa"/>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2820" w:type="dxa"/>
            <w:gridSpan w:val="3"/>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hint="eastAsia" w:ascii="宋体" w:hAnsi="宋体" w:eastAsia="宋体" w:cs="宋体"/>
                <w:i w:val="0"/>
                <w:caps w:val="0"/>
                <w:color w:val="000000"/>
                <w:spacing w:val="0"/>
                <w:sz w:val="16"/>
                <w:szCs w:val="16"/>
                <w:shd w:val="clear" w:color="auto" w:fill="FFFFFF"/>
              </w:rPr>
            </w:pPr>
            <w:r>
              <w:rPr>
                <w:rFonts w:hint="eastAsia" w:ascii="宋体" w:hAnsi="宋体" w:eastAsia="宋体" w:cs="宋体"/>
                <w:i w:val="0"/>
                <w:caps w:val="0"/>
                <w:color w:val="000000"/>
                <w:spacing w:val="0"/>
                <w:sz w:val="16"/>
                <w:szCs w:val="16"/>
                <w:shd w:val="clear" w:color="auto" w:fill="FFFFFF"/>
              </w:rPr>
              <w:t>开展救护员培训、普及性应急救护知识讲座</w:t>
            </w:r>
          </w:p>
        </w:tc>
        <w:tc>
          <w:tcPr>
            <w:tcW w:w="948"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hint="eastAsia" w:ascii="宋体" w:hAnsi="宋体" w:eastAsia="宋体" w:cs="宋体"/>
                <w:kern w:val="2"/>
                <w:sz w:val="16"/>
                <w:szCs w:val="16"/>
                <w:lang w:val="en-US" w:eastAsia="zh-CN" w:bidi="zh-CN"/>
              </w:rPr>
            </w:pPr>
            <w:r>
              <w:rPr>
                <w:rFonts w:hint="eastAsia" w:ascii="宋体" w:hAnsi="宋体" w:eastAsia="宋体" w:cs="宋体"/>
                <w:kern w:val="2"/>
                <w:sz w:val="16"/>
                <w:szCs w:val="16"/>
                <w:lang w:val="en-US" w:eastAsia="zh-CN" w:bidi="zh-CN"/>
              </w:rPr>
              <w:t>合格率95%</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hint="eastAsia" w:ascii="宋体" w:hAnsi="宋体" w:eastAsia="宋体" w:cs="宋体"/>
                <w:kern w:val="2"/>
                <w:sz w:val="16"/>
                <w:szCs w:val="16"/>
                <w:lang w:val="en-US" w:eastAsia="zh-CN" w:bidi="zh-CN"/>
              </w:rPr>
            </w:pPr>
            <w:r>
              <w:rPr>
                <w:rFonts w:hint="default" w:ascii="宋体" w:hAnsi="宋体" w:eastAsia="宋体" w:cs="宋体"/>
                <w:kern w:val="2"/>
                <w:sz w:val="16"/>
                <w:szCs w:val="16"/>
                <w:lang w:val="zh-CN" w:eastAsia="zh-CN" w:bidi="zh-CN"/>
              </w:rPr>
              <w:t>100%</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rFonts w:hint="eastAsia"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2</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eastAsia="宋体" w:cs="Times New Roman"/>
                <w:kern w:val="2"/>
                <w:sz w:val="16"/>
                <w:szCs w:val="16"/>
                <w:lang w:val="en-US" w:eastAsia="zh-CN" w:bidi="zh-CN"/>
              </w:rPr>
              <w:t>2</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hint="eastAsia" w:ascii="宋体" w:hAnsi="宋体" w:eastAsia="宋体" w:cs="宋体"/>
                <w:i w:val="0"/>
                <w:caps w:val="0"/>
                <w:color w:val="000000"/>
                <w:spacing w:val="0"/>
                <w:sz w:val="16"/>
                <w:szCs w:val="16"/>
                <w:shd w:val="clear" w:color="auto" w:fill="FFFFFF"/>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jc w:val="center"/>
              <w:textAlignment w:val="auto"/>
              <w:outlineLvl w:val="9"/>
              <w:rPr>
                <w:sz w:val="16"/>
                <w:szCs w:val="16"/>
              </w:rPr>
            </w:pPr>
            <w:r>
              <w:rPr>
                <w:sz w:val="16"/>
                <w:szCs w:val="16"/>
              </w:rPr>
              <w:t>时效指标</w:t>
            </w:r>
          </w:p>
        </w:tc>
        <w:tc>
          <w:tcPr>
            <w:tcW w:w="2820" w:type="dxa"/>
            <w:gridSpan w:val="3"/>
            <w:vAlign w:val="top"/>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textAlignment w:val="auto"/>
              <w:outlineLvl w:val="9"/>
              <w:rPr>
                <w:rFonts w:hint="default" w:ascii="宋体" w:hAnsi="宋体" w:eastAsia="宋体" w:cs="宋体"/>
                <w:sz w:val="16"/>
                <w:szCs w:val="16"/>
                <w:lang w:val="zh-CN" w:eastAsia="zh-CN" w:bidi="zh-CN"/>
              </w:rPr>
            </w:pPr>
            <w:r>
              <w:rPr>
                <w:rFonts w:hint="eastAsia" w:ascii="宋体" w:hAnsi="宋体" w:eastAsia="宋体" w:cs="宋体"/>
                <w:i w:val="0"/>
                <w:caps w:val="0"/>
                <w:color w:val="000000"/>
                <w:spacing w:val="0"/>
                <w:sz w:val="16"/>
                <w:szCs w:val="16"/>
                <w:shd w:val="clear" w:color="auto" w:fill="FFFFFF"/>
              </w:rPr>
              <w:t>开展人道救助、应急救护培训、捐献造血干细胞捐献等工作于202</w:t>
            </w:r>
            <w:r>
              <w:rPr>
                <w:rFonts w:hint="eastAsia" w:cs="宋体"/>
                <w:i w:val="0"/>
                <w:caps w:val="0"/>
                <w:color w:val="000000"/>
                <w:spacing w:val="0"/>
                <w:sz w:val="16"/>
                <w:szCs w:val="16"/>
                <w:shd w:val="clear" w:color="auto" w:fill="FFFFFF"/>
                <w:lang w:val="en-US" w:eastAsia="zh-CN"/>
              </w:rPr>
              <w:t>5</w:t>
            </w:r>
            <w:r>
              <w:rPr>
                <w:rFonts w:hint="eastAsia" w:ascii="宋体" w:hAnsi="宋体" w:eastAsia="宋体" w:cs="宋体"/>
                <w:i w:val="0"/>
                <w:caps w:val="0"/>
                <w:color w:val="000000"/>
                <w:spacing w:val="0"/>
                <w:sz w:val="16"/>
                <w:szCs w:val="16"/>
                <w:shd w:val="clear" w:color="auto" w:fill="FFFFFF"/>
              </w:rPr>
              <w:t>年12月20日前完成</w:t>
            </w:r>
          </w:p>
        </w:tc>
        <w:tc>
          <w:tcPr>
            <w:tcW w:w="948"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eastAsia" w:ascii="宋体" w:hAnsi="宋体" w:eastAsia="宋体" w:cs="宋体"/>
                <w:kern w:val="2"/>
                <w:sz w:val="16"/>
                <w:szCs w:val="16"/>
                <w:lang w:val="en-US" w:eastAsia="zh-CN" w:bidi="zh-CN"/>
              </w:rPr>
            </w:pPr>
            <w:r>
              <w:rPr>
                <w:rFonts w:hint="eastAsia" w:cs="宋体"/>
                <w:kern w:val="2"/>
                <w:sz w:val="16"/>
                <w:szCs w:val="16"/>
                <w:lang w:val="zh-CN" w:eastAsia="zh-CN" w:bidi="zh-CN"/>
              </w:rPr>
              <w:t>202</w:t>
            </w:r>
            <w:r>
              <w:rPr>
                <w:rFonts w:hint="eastAsia" w:cs="宋体"/>
                <w:kern w:val="2"/>
                <w:sz w:val="16"/>
                <w:szCs w:val="16"/>
                <w:lang w:val="en-US" w:eastAsia="zh-CN" w:bidi="zh-CN"/>
              </w:rPr>
              <w:t>5</w:t>
            </w:r>
            <w:r>
              <w:rPr>
                <w:rFonts w:hint="eastAsia" w:cs="宋体"/>
                <w:kern w:val="2"/>
                <w:sz w:val="16"/>
                <w:szCs w:val="16"/>
                <w:lang w:val="zh-CN" w:eastAsia="zh-CN" w:bidi="zh-CN"/>
              </w:rPr>
              <w:t>年</w:t>
            </w:r>
            <w:r>
              <w:rPr>
                <w:rFonts w:hint="eastAsia" w:ascii="宋体" w:hAnsi="宋体" w:eastAsia="宋体" w:cs="宋体"/>
                <w:kern w:val="2"/>
                <w:sz w:val="16"/>
                <w:szCs w:val="16"/>
                <w:lang w:val="en-US" w:eastAsia="zh-CN" w:bidi="zh-CN"/>
              </w:rPr>
              <w:t>底</w:t>
            </w:r>
            <w:r>
              <w:rPr>
                <w:rFonts w:hint="eastAsia" w:cs="宋体"/>
                <w:kern w:val="2"/>
                <w:sz w:val="16"/>
                <w:szCs w:val="16"/>
                <w:lang w:val="en-US" w:eastAsia="zh-CN" w:bidi="zh-CN"/>
              </w:rPr>
              <w:t>前</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100%</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cs="Times New Roman"/>
                <w:kern w:val="2"/>
                <w:sz w:val="16"/>
                <w:szCs w:val="16"/>
                <w:lang w:val="en-US" w:eastAsia="zh-CN" w:bidi="zh-CN"/>
              </w:rPr>
              <w:t>10</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eastAsia="宋体" w:cs="Times New Roman"/>
                <w:kern w:val="2"/>
                <w:sz w:val="16"/>
                <w:szCs w:val="16"/>
                <w:lang w:val="en-US" w:eastAsia="zh-CN" w:bidi="zh-CN"/>
              </w:rPr>
              <w:t>10</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restart"/>
            <w:vAlign w:val="center"/>
          </w:tcPr>
          <w:p>
            <w:pPr>
              <w:pStyle w:val="15"/>
              <w:keepNext w:val="0"/>
              <w:keepLines w:val="0"/>
              <w:pageBreakBefore w:val="0"/>
              <w:widowControl w:val="0"/>
              <w:kinsoku/>
              <w:wordWrap/>
              <w:overflowPunct/>
              <w:topLinePunct w:val="0"/>
              <w:bidi w:val="0"/>
              <w:adjustRightInd/>
              <w:snapToGrid/>
              <w:spacing w:before="0" w:after="0" w:line="200" w:lineRule="exact"/>
              <w:ind w:left="55" w:right="59" w:firstLine="0" w:firstLineChars="0"/>
              <w:jc w:val="center"/>
              <w:textAlignment w:val="auto"/>
              <w:outlineLvl w:val="9"/>
              <w:rPr>
                <w:sz w:val="16"/>
                <w:szCs w:val="16"/>
              </w:rPr>
            </w:pPr>
            <w:r>
              <w:rPr>
                <w:sz w:val="16"/>
                <w:szCs w:val="16"/>
              </w:rPr>
              <w:t>成本指标</w:t>
            </w: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i w:val="0"/>
                <w:caps w:val="0"/>
                <w:color w:val="000000"/>
                <w:spacing w:val="0"/>
                <w:kern w:val="2"/>
                <w:sz w:val="16"/>
                <w:szCs w:val="16"/>
                <w:shd w:val="clear" w:color="auto" w:fill="FFFFFF"/>
                <w:lang w:val="zh-CN" w:eastAsia="zh-CN" w:bidi="zh-CN"/>
              </w:rPr>
            </w:pPr>
            <w:r>
              <w:rPr>
                <w:rFonts w:hint="default" w:ascii="宋体" w:hAnsi="宋体" w:eastAsia="宋体" w:cs="宋体"/>
                <w:i w:val="0"/>
                <w:caps w:val="0"/>
                <w:color w:val="000000"/>
                <w:spacing w:val="0"/>
                <w:kern w:val="2"/>
                <w:sz w:val="16"/>
                <w:szCs w:val="16"/>
                <w:shd w:val="clear" w:color="auto" w:fill="FFFFFF"/>
                <w:lang w:val="zh-CN" w:eastAsia="zh-CN" w:bidi="zh-CN"/>
              </w:rPr>
              <w:t>开展人道救助，救助困难群众、对成功捐献造血干细胞志愿者进行健康回访及人道关怀慰问，做好自然灾害等突发公共事件应急救灾工作等</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eastAsia="宋体" w:cs="宋体"/>
                <w:kern w:val="2"/>
                <w:sz w:val="16"/>
                <w:szCs w:val="16"/>
                <w:lang w:val="en-US" w:eastAsia="zh-CN" w:bidi="zh-CN"/>
              </w:rPr>
              <w:t>5</w:t>
            </w:r>
            <w:r>
              <w:rPr>
                <w:rFonts w:hint="default" w:ascii="宋体" w:hAnsi="宋体" w:eastAsia="宋体" w:cs="宋体"/>
                <w:kern w:val="2"/>
                <w:sz w:val="16"/>
                <w:szCs w:val="16"/>
                <w:lang w:val="zh-CN" w:eastAsia="zh-CN" w:bidi="zh-CN"/>
              </w:rPr>
              <w:t>万元</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eastAsia="宋体" w:cs="宋体"/>
                <w:kern w:val="2"/>
                <w:sz w:val="16"/>
                <w:szCs w:val="16"/>
                <w:lang w:val="en-US" w:eastAsia="zh-CN" w:bidi="zh-CN"/>
              </w:rPr>
              <w:t>5</w:t>
            </w:r>
            <w:r>
              <w:rPr>
                <w:rFonts w:hint="default" w:ascii="宋体" w:hAnsi="宋体" w:eastAsia="宋体" w:cs="宋体"/>
                <w:kern w:val="2"/>
                <w:sz w:val="16"/>
                <w:szCs w:val="16"/>
                <w:lang w:val="zh-CN" w:eastAsia="zh-CN" w:bidi="zh-CN"/>
              </w:rPr>
              <w:t>万元</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eastAsia="宋体" w:cs="Times New Roman"/>
                <w:kern w:val="2"/>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kern w:val="2"/>
                <w:sz w:val="16"/>
                <w:szCs w:val="16"/>
                <w:lang w:val="en-US" w:eastAsia="zh-CN" w:bidi="zh-CN"/>
              </w:rPr>
            </w:pPr>
            <w:r>
              <w:rPr>
                <w:rFonts w:hint="eastAsia" w:ascii="Times New Roman" w:hAnsi="Times New Roman" w:eastAsia="宋体" w:cs="Times New Roman"/>
                <w:kern w:val="2"/>
                <w:sz w:val="16"/>
                <w:szCs w:val="16"/>
                <w:lang w:val="en-US" w:eastAsia="zh-CN" w:bidi="zh-CN"/>
              </w:rPr>
              <w:t>2.5</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left="52" w:firstLine="0" w:firstLineChars="0"/>
              <w:textAlignment w:val="auto"/>
              <w:outlineLvl w:val="9"/>
              <w:rPr>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55" w:right="59" w:firstLine="0" w:firstLineChars="0"/>
              <w:jc w:val="center"/>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i w:val="0"/>
                <w:caps w:val="0"/>
                <w:color w:val="000000"/>
                <w:spacing w:val="0"/>
                <w:kern w:val="2"/>
                <w:sz w:val="16"/>
                <w:szCs w:val="16"/>
                <w:shd w:val="clear" w:color="auto" w:fill="FFFFFF"/>
                <w:lang w:val="zh-CN" w:eastAsia="zh-CN" w:bidi="zh-CN"/>
              </w:rPr>
            </w:pPr>
            <w:r>
              <w:rPr>
                <w:rFonts w:hint="default" w:ascii="宋体" w:hAnsi="宋体" w:eastAsia="宋体" w:cs="宋体"/>
                <w:i w:val="0"/>
                <w:caps w:val="0"/>
                <w:color w:val="000000"/>
                <w:spacing w:val="0"/>
                <w:kern w:val="2"/>
                <w:sz w:val="16"/>
                <w:szCs w:val="16"/>
                <w:shd w:val="clear" w:color="auto" w:fill="FFFFFF"/>
                <w:lang w:val="zh-CN" w:eastAsia="zh-CN" w:bidi="zh-CN"/>
              </w:rPr>
              <w:t>造血干细胞血样采集任务形成的采血人员劳务费、资料录入费（雇人录入造血干细胞入库志愿者信息）、电话费（志愿者回访）、宣传费（在鼓楼LED大屏及横店影视城循环播放造血干细胞知识）等</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eastAsia="宋体" w:cs="宋体"/>
                <w:kern w:val="2"/>
                <w:sz w:val="16"/>
                <w:szCs w:val="16"/>
                <w:lang w:val="en-US" w:eastAsia="zh-CN" w:bidi="zh-CN"/>
              </w:rPr>
              <w:t>5</w:t>
            </w:r>
            <w:r>
              <w:rPr>
                <w:rFonts w:hint="default" w:ascii="宋体" w:hAnsi="宋体" w:eastAsia="宋体" w:cs="宋体"/>
                <w:kern w:val="2"/>
                <w:sz w:val="16"/>
                <w:szCs w:val="16"/>
                <w:lang w:val="zh-CN" w:eastAsia="zh-CN" w:bidi="zh-CN"/>
              </w:rPr>
              <w:t>万元</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eastAsia="宋体" w:cs="宋体"/>
                <w:kern w:val="2"/>
                <w:sz w:val="16"/>
                <w:szCs w:val="16"/>
                <w:lang w:val="en-US" w:eastAsia="zh-CN" w:bidi="zh-CN"/>
              </w:rPr>
              <w:t>5</w:t>
            </w:r>
            <w:r>
              <w:rPr>
                <w:rFonts w:hint="default" w:ascii="宋体" w:hAnsi="宋体" w:eastAsia="宋体" w:cs="宋体"/>
                <w:kern w:val="2"/>
                <w:sz w:val="16"/>
                <w:szCs w:val="16"/>
                <w:lang w:val="zh-CN" w:eastAsia="zh-CN" w:bidi="zh-CN"/>
              </w:rPr>
              <w:t>万元</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left="52" w:firstLine="0" w:firstLineChars="0"/>
              <w:textAlignment w:val="auto"/>
              <w:outlineLvl w:val="9"/>
              <w:rPr>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55" w:right="59" w:firstLine="0" w:firstLineChars="0"/>
              <w:jc w:val="center"/>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i w:val="0"/>
                <w:caps w:val="0"/>
                <w:color w:val="000000"/>
                <w:spacing w:val="0"/>
                <w:kern w:val="2"/>
                <w:sz w:val="16"/>
                <w:szCs w:val="16"/>
                <w:shd w:val="clear" w:color="auto" w:fill="FFFFFF"/>
                <w:lang w:val="zh-CN" w:eastAsia="zh-CN" w:bidi="zh-CN"/>
              </w:rPr>
            </w:pPr>
            <w:r>
              <w:rPr>
                <w:rFonts w:hint="eastAsia" w:ascii="宋体" w:hAnsi="宋体" w:eastAsia="宋体" w:cs="宋体"/>
                <w:i w:val="0"/>
                <w:caps w:val="0"/>
                <w:color w:val="000000"/>
                <w:spacing w:val="0"/>
                <w:sz w:val="16"/>
                <w:szCs w:val="16"/>
                <w:shd w:val="clear" w:color="auto" w:fill="FFFFFF"/>
              </w:rPr>
              <w:t>加大应急救护培训力度，大力推动红十字应急救护知识“六进”活动，积极倡导“人人学急救、急救为人人”的理念，不断提高公众自救互救意识和能力</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cs="宋体"/>
                <w:kern w:val="2"/>
                <w:sz w:val="16"/>
                <w:szCs w:val="16"/>
                <w:lang w:val="en-US" w:eastAsia="zh-CN" w:bidi="zh-CN"/>
              </w:rPr>
              <w:t>8</w:t>
            </w:r>
            <w:r>
              <w:rPr>
                <w:rFonts w:hint="default" w:ascii="宋体" w:hAnsi="宋体" w:eastAsia="宋体" w:cs="宋体"/>
                <w:kern w:val="2"/>
                <w:sz w:val="16"/>
                <w:szCs w:val="16"/>
                <w:lang w:val="zh-CN" w:eastAsia="zh-CN" w:bidi="zh-CN"/>
              </w:rPr>
              <w:t>万元</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cs="宋体"/>
                <w:kern w:val="2"/>
                <w:sz w:val="16"/>
                <w:szCs w:val="16"/>
                <w:lang w:val="en-US" w:eastAsia="zh-CN" w:bidi="zh-CN"/>
              </w:rPr>
              <w:t>8</w:t>
            </w:r>
            <w:r>
              <w:rPr>
                <w:rFonts w:hint="default" w:ascii="宋体" w:hAnsi="宋体" w:eastAsia="宋体" w:cs="宋体"/>
                <w:kern w:val="2"/>
                <w:sz w:val="16"/>
                <w:szCs w:val="16"/>
                <w:lang w:val="zh-CN" w:eastAsia="zh-CN" w:bidi="zh-CN"/>
              </w:rPr>
              <w:t>万元</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4</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4</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left="52" w:firstLine="0" w:firstLineChars="0"/>
              <w:textAlignment w:val="auto"/>
              <w:outlineLvl w:val="9"/>
              <w:rPr>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465" w:type="dxa"/>
            <w:vMerge w:val="continue"/>
            <w:tcBorders>
              <w:top w:val="nil"/>
            </w:tcBorders>
            <w:vAlign w:val="top"/>
          </w:tcPr>
          <w:p>
            <w:pPr>
              <w:rPr>
                <w:sz w:val="16"/>
                <w:szCs w:val="16"/>
              </w:rPr>
            </w:pPr>
          </w:p>
        </w:tc>
        <w:tc>
          <w:tcPr>
            <w:tcW w:w="589" w:type="dxa"/>
            <w:vMerge w:val="continue"/>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55" w:right="59" w:firstLine="0" w:firstLineChars="0"/>
              <w:jc w:val="center"/>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i w:val="0"/>
                <w:caps w:val="0"/>
                <w:color w:val="000000"/>
                <w:spacing w:val="0"/>
                <w:kern w:val="2"/>
                <w:sz w:val="16"/>
                <w:szCs w:val="16"/>
                <w:shd w:val="clear" w:color="auto" w:fill="FFFFFF"/>
                <w:lang w:val="zh-CN" w:eastAsia="zh-CN" w:bidi="zh-CN"/>
              </w:rPr>
            </w:pPr>
            <w:r>
              <w:rPr>
                <w:rFonts w:hint="default" w:ascii="宋体" w:hAnsi="宋体" w:eastAsia="宋体" w:cs="宋体"/>
                <w:i w:val="0"/>
                <w:caps w:val="0"/>
                <w:color w:val="000000"/>
                <w:spacing w:val="0"/>
                <w:kern w:val="2"/>
                <w:sz w:val="16"/>
                <w:szCs w:val="16"/>
                <w:shd w:val="clear" w:color="auto" w:fill="FFFFFF"/>
                <w:lang w:val="zh-CN" w:eastAsia="zh-CN" w:bidi="zh-CN"/>
              </w:rPr>
              <w:t>开展遗体和人体器官（角膜）捐献宣传动员工作；对推动遗体器官捐献相关工作人员及医疗卫生机构人员进行知识培训等</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cs="宋体"/>
                <w:kern w:val="2"/>
                <w:sz w:val="16"/>
                <w:szCs w:val="16"/>
                <w:lang w:val="en-US" w:eastAsia="zh-CN" w:bidi="zh-CN"/>
              </w:rPr>
              <w:t>2</w:t>
            </w:r>
            <w:r>
              <w:rPr>
                <w:rFonts w:hint="default" w:ascii="宋体" w:hAnsi="宋体" w:eastAsia="宋体" w:cs="宋体"/>
                <w:kern w:val="2"/>
                <w:sz w:val="16"/>
                <w:szCs w:val="16"/>
                <w:lang w:val="zh-CN" w:eastAsia="zh-CN" w:bidi="zh-CN"/>
              </w:rPr>
              <w:t>万元</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ascii="宋体" w:hAnsi="宋体" w:cs="宋体"/>
                <w:kern w:val="2"/>
                <w:sz w:val="16"/>
                <w:szCs w:val="16"/>
                <w:lang w:val="en-US" w:eastAsia="zh-CN" w:bidi="zh-CN"/>
              </w:rPr>
              <w:t>2</w:t>
            </w:r>
            <w:r>
              <w:rPr>
                <w:rFonts w:hint="default" w:ascii="宋体" w:hAnsi="宋体" w:eastAsia="宋体" w:cs="宋体"/>
                <w:kern w:val="2"/>
                <w:sz w:val="16"/>
                <w:szCs w:val="16"/>
                <w:lang w:val="zh-CN" w:eastAsia="zh-CN" w:bidi="zh-CN"/>
              </w:rPr>
              <w:t>万元</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cs="Times New Roman"/>
                <w:sz w:val="16"/>
                <w:szCs w:val="16"/>
                <w:lang w:val="en-US" w:eastAsia="zh-CN" w:bidi="zh-CN"/>
              </w:rPr>
              <w:t>1</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cs="Times New Roman"/>
                <w:sz w:val="16"/>
                <w:szCs w:val="16"/>
                <w:lang w:val="en-US" w:eastAsia="zh-CN" w:bidi="zh-CN"/>
              </w:rPr>
              <w:t>1</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left="52" w:firstLine="0" w:firstLineChars="0"/>
              <w:textAlignment w:val="auto"/>
              <w:outlineLvl w:val="9"/>
              <w:rPr>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465" w:type="dxa"/>
            <w:vMerge w:val="continue"/>
            <w:tcBorders>
              <w:top w:val="nil"/>
            </w:tcBorders>
            <w:vAlign w:val="top"/>
          </w:tcPr>
          <w:p>
            <w:pPr>
              <w:rPr>
                <w:sz w:val="2"/>
                <w:szCs w:val="2"/>
              </w:rPr>
            </w:pPr>
          </w:p>
        </w:tc>
        <w:tc>
          <w:tcPr>
            <w:tcW w:w="589" w:type="dxa"/>
            <w:vMerge w:val="restart"/>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130" w:firstLine="0" w:firstLineChars="0"/>
              <w:jc w:val="center"/>
              <w:textAlignment w:val="auto"/>
              <w:outlineLvl w:val="9"/>
              <w:rPr>
                <w:sz w:val="16"/>
                <w:szCs w:val="16"/>
              </w:rPr>
            </w:pPr>
          </w:p>
          <w:p>
            <w:pPr>
              <w:pStyle w:val="15"/>
              <w:keepNext w:val="0"/>
              <w:keepLines w:val="0"/>
              <w:pageBreakBefore w:val="0"/>
              <w:widowControl w:val="0"/>
              <w:kinsoku/>
              <w:wordWrap/>
              <w:overflowPunct/>
              <w:topLinePunct w:val="0"/>
              <w:bidi w:val="0"/>
              <w:adjustRightInd/>
              <w:snapToGrid/>
              <w:spacing w:before="0" w:after="0" w:line="200" w:lineRule="exact"/>
              <w:ind w:right="130" w:firstLine="0" w:firstLineChars="0"/>
              <w:jc w:val="center"/>
              <w:textAlignment w:val="auto"/>
              <w:outlineLvl w:val="9"/>
              <w:rPr>
                <w:sz w:val="16"/>
                <w:szCs w:val="16"/>
              </w:rPr>
            </w:pPr>
            <w:r>
              <w:rPr>
                <w:sz w:val="16"/>
                <w:szCs w:val="16"/>
              </w:rPr>
              <w:t>效益指标</w:t>
            </w:r>
          </w:p>
          <w:p>
            <w:pPr>
              <w:pStyle w:val="15"/>
              <w:keepNext w:val="0"/>
              <w:keepLines w:val="0"/>
              <w:pageBreakBefore w:val="0"/>
              <w:widowControl w:val="0"/>
              <w:kinsoku/>
              <w:wordWrap/>
              <w:overflowPunct/>
              <w:topLinePunct w:val="0"/>
              <w:bidi w:val="0"/>
              <w:adjustRightInd/>
              <w:snapToGrid/>
              <w:spacing w:before="0" w:after="0" w:line="200" w:lineRule="exact"/>
              <w:ind w:left="52" w:right="40" w:firstLine="0" w:firstLineChars="0"/>
              <w:jc w:val="center"/>
              <w:textAlignment w:val="auto"/>
              <w:outlineLvl w:val="9"/>
              <w:rPr>
                <w:sz w:val="16"/>
                <w:szCs w:val="16"/>
              </w:rPr>
            </w:pPr>
            <w:r>
              <w:rPr>
                <w:spacing w:val="5"/>
                <w:sz w:val="16"/>
                <w:szCs w:val="16"/>
              </w:rPr>
              <w:t>（</w:t>
            </w:r>
            <w:r>
              <w:rPr>
                <w:rFonts w:hint="eastAsia"/>
                <w:spacing w:val="5"/>
                <w:sz w:val="16"/>
                <w:szCs w:val="16"/>
                <w:lang w:val="en-US" w:eastAsia="zh-CN"/>
              </w:rPr>
              <w:t>4</w:t>
            </w:r>
            <w:r>
              <w:rPr>
                <w:spacing w:val="5"/>
                <w:sz w:val="16"/>
                <w:szCs w:val="16"/>
              </w:rPr>
              <w:t>0 分</w:t>
            </w:r>
            <w:r>
              <w:rPr>
                <w:spacing w:val="-17"/>
                <w:sz w:val="16"/>
                <w:szCs w:val="16"/>
              </w:rPr>
              <w:t>）</w:t>
            </w:r>
          </w:p>
        </w:tc>
        <w:tc>
          <w:tcPr>
            <w:tcW w:w="828"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70"/>
              <w:jc w:val="center"/>
              <w:textAlignment w:val="auto"/>
              <w:outlineLvl w:val="9"/>
              <w:rPr>
                <w:sz w:val="16"/>
                <w:szCs w:val="16"/>
              </w:rPr>
            </w:pPr>
            <w:r>
              <w:rPr>
                <w:sz w:val="16"/>
                <w:szCs w:val="16"/>
              </w:rPr>
              <w:t>经济效</w:t>
            </w:r>
          </w:p>
          <w:p>
            <w:pPr>
              <w:pStyle w:val="15"/>
              <w:keepNext w:val="0"/>
              <w:keepLines w:val="0"/>
              <w:pageBreakBefore w:val="0"/>
              <w:widowControl w:val="0"/>
              <w:kinsoku/>
              <w:wordWrap/>
              <w:overflowPunct/>
              <w:topLinePunct w:val="0"/>
              <w:bidi w:val="0"/>
              <w:adjustRightInd/>
              <w:snapToGrid/>
              <w:spacing w:before="0" w:after="0" w:line="200" w:lineRule="exact"/>
              <w:ind w:right="70"/>
              <w:jc w:val="center"/>
              <w:textAlignment w:val="auto"/>
              <w:outlineLvl w:val="9"/>
              <w:rPr>
                <w:sz w:val="16"/>
                <w:szCs w:val="16"/>
              </w:rPr>
            </w:pPr>
            <w:r>
              <w:rPr>
                <w:sz w:val="16"/>
                <w:szCs w:val="16"/>
              </w:rPr>
              <w:t>益指标</w:t>
            </w:r>
          </w:p>
        </w:tc>
        <w:tc>
          <w:tcPr>
            <w:tcW w:w="2820" w:type="dxa"/>
            <w:gridSpan w:val="3"/>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left"/>
              <w:textAlignment w:val="auto"/>
              <w:outlineLvl w:val="9"/>
              <w:rPr>
                <w:rFonts w:hint="default" w:ascii="宋体" w:hAnsi="宋体" w:eastAsia="宋体" w:cs="宋体"/>
                <w:sz w:val="16"/>
                <w:szCs w:val="16"/>
                <w:lang w:val="zh-CN" w:eastAsia="zh-CN" w:bidi="zh-CN"/>
              </w:rPr>
            </w:pPr>
            <w:r>
              <w:rPr>
                <w:rFonts w:hint="default" w:ascii="宋体" w:hAnsi="宋体" w:eastAsia="宋体" w:cs="宋体"/>
                <w:i w:val="0"/>
                <w:caps w:val="0"/>
                <w:color w:val="000000"/>
                <w:spacing w:val="0"/>
                <w:sz w:val="16"/>
                <w:szCs w:val="16"/>
                <w:shd w:val="clear" w:color="auto" w:fill="FFFFFF"/>
              </w:rPr>
              <w:t>年内完成</w:t>
            </w:r>
            <w:r>
              <w:rPr>
                <w:rFonts w:hint="eastAsia" w:cs="宋体"/>
                <w:i w:val="0"/>
                <w:caps w:val="0"/>
                <w:color w:val="000000"/>
                <w:spacing w:val="0"/>
                <w:sz w:val="16"/>
                <w:szCs w:val="16"/>
                <w:shd w:val="clear" w:color="auto" w:fill="FFFFFF"/>
                <w:lang w:val="en-US" w:eastAsia="zh-CN"/>
              </w:rPr>
              <w:t>300</w:t>
            </w:r>
            <w:r>
              <w:rPr>
                <w:rFonts w:hint="default" w:ascii="宋体" w:hAnsi="宋体" w:eastAsia="宋体" w:cs="宋体"/>
                <w:i w:val="0"/>
                <w:caps w:val="0"/>
                <w:color w:val="000000"/>
                <w:spacing w:val="0"/>
                <w:sz w:val="16"/>
                <w:szCs w:val="16"/>
                <w:shd w:val="clear" w:color="auto" w:fill="FFFFFF"/>
              </w:rPr>
              <w:t>份造血干细胞血样采集任务</w:t>
            </w:r>
          </w:p>
        </w:tc>
        <w:tc>
          <w:tcPr>
            <w:tcW w:w="948"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cs="宋体"/>
                <w:kern w:val="2"/>
                <w:sz w:val="16"/>
                <w:szCs w:val="16"/>
                <w:lang w:val="en-US" w:eastAsia="zh-CN" w:bidi="zh-CN"/>
              </w:rPr>
              <w:t>300</w:t>
            </w:r>
            <w:r>
              <w:rPr>
                <w:rFonts w:hint="default" w:ascii="宋体" w:hAnsi="宋体" w:eastAsia="宋体" w:cs="宋体"/>
                <w:kern w:val="2"/>
                <w:sz w:val="16"/>
                <w:szCs w:val="16"/>
                <w:lang w:val="en-US" w:eastAsia="zh-CN" w:bidi="zh-CN"/>
              </w:rPr>
              <w:t>份</w:t>
            </w:r>
          </w:p>
        </w:tc>
        <w:tc>
          <w:tcPr>
            <w:tcW w:w="1190" w:type="dxa"/>
            <w:vAlign w:val="center"/>
          </w:tcPr>
          <w:p>
            <w:pPr>
              <w:pStyle w:val="15"/>
              <w:keepNext w:val="0"/>
              <w:keepLines w:val="0"/>
              <w:pageBreakBefore w:val="0"/>
              <w:widowControl w:val="0"/>
              <w:kinsoku/>
              <w:wordWrap/>
              <w:overflowPunct/>
              <w:topLinePunct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16"/>
                <w:lang w:val="zh-CN" w:eastAsia="zh-CN" w:bidi="zh-CN"/>
              </w:rPr>
            </w:pPr>
            <w:r>
              <w:rPr>
                <w:rFonts w:hint="eastAsia" w:cs="宋体"/>
                <w:kern w:val="2"/>
                <w:sz w:val="16"/>
                <w:szCs w:val="16"/>
                <w:lang w:val="en-US" w:eastAsia="zh-CN" w:bidi="zh-CN"/>
              </w:rPr>
              <w:t>300</w:t>
            </w:r>
            <w:r>
              <w:rPr>
                <w:rFonts w:hint="default" w:ascii="宋体" w:hAnsi="宋体" w:eastAsia="宋体" w:cs="宋体"/>
                <w:kern w:val="2"/>
                <w:sz w:val="16"/>
                <w:szCs w:val="16"/>
                <w:lang w:val="en-US" w:eastAsia="zh-CN" w:bidi="zh-CN"/>
              </w:rPr>
              <w:t>份</w:t>
            </w:r>
          </w:p>
        </w:tc>
        <w:tc>
          <w:tcPr>
            <w:tcW w:w="600"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10</w:t>
            </w:r>
          </w:p>
        </w:tc>
        <w:tc>
          <w:tcPr>
            <w:tcW w:w="919"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3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10</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2" w:hRule="atLeast"/>
        </w:trPr>
        <w:tc>
          <w:tcPr>
            <w:tcW w:w="465" w:type="dxa"/>
            <w:vMerge w:val="continue"/>
            <w:tcBorders>
              <w:top w:val="nil"/>
            </w:tcBorders>
            <w:vAlign w:val="top"/>
          </w:tcPr>
          <w:p>
            <w:pPr>
              <w:rPr>
                <w:sz w:val="2"/>
                <w:szCs w:val="2"/>
              </w:rPr>
            </w:pPr>
          </w:p>
        </w:tc>
        <w:tc>
          <w:tcPr>
            <w:tcW w:w="589" w:type="dxa"/>
            <w:vMerge w:val="continue"/>
            <w:tcBorders>
              <w:top w:val="nil"/>
            </w:tcBorders>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restart"/>
            <w:vAlign w:val="center"/>
          </w:tcPr>
          <w:p>
            <w:pPr>
              <w:pStyle w:val="15"/>
              <w:keepNext w:val="0"/>
              <w:keepLines w:val="0"/>
              <w:pageBreakBefore w:val="0"/>
              <w:widowControl w:val="0"/>
              <w:kinsoku/>
              <w:wordWrap/>
              <w:overflowPunct/>
              <w:topLinePunct w:val="0"/>
              <w:bidi w:val="0"/>
              <w:adjustRightInd/>
              <w:snapToGrid/>
              <w:spacing w:before="0" w:after="0" w:line="200" w:lineRule="exact"/>
              <w:ind w:right="70"/>
              <w:jc w:val="center"/>
              <w:textAlignment w:val="auto"/>
              <w:outlineLvl w:val="9"/>
              <w:rPr>
                <w:sz w:val="16"/>
                <w:szCs w:val="16"/>
              </w:rPr>
            </w:pPr>
            <w:r>
              <w:rPr>
                <w:sz w:val="16"/>
                <w:szCs w:val="16"/>
              </w:rPr>
              <w:t>社会</w:t>
            </w:r>
          </w:p>
          <w:p>
            <w:pPr>
              <w:pStyle w:val="15"/>
              <w:keepNext w:val="0"/>
              <w:keepLines w:val="0"/>
              <w:pageBreakBefore w:val="0"/>
              <w:widowControl w:val="0"/>
              <w:kinsoku/>
              <w:wordWrap/>
              <w:overflowPunct/>
              <w:topLinePunct w:val="0"/>
              <w:bidi w:val="0"/>
              <w:adjustRightInd/>
              <w:snapToGrid/>
              <w:spacing w:before="0" w:after="0" w:line="200" w:lineRule="exact"/>
              <w:ind w:right="70"/>
              <w:jc w:val="center"/>
              <w:textAlignment w:val="auto"/>
              <w:outlineLvl w:val="9"/>
              <w:rPr>
                <w:sz w:val="16"/>
                <w:szCs w:val="16"/>
              </w:rPr>
            </w:pPr>
            <w:r>
              <w:rPr>
                <w:sz w:val="16"/>
                <w:szCs w:val="16"/>
              </w:rPr>
              <w:t>效益</w:t>
            </w:r>
          </w:p>
          <w:p>
            <w:pPr>
              <w:pStyle w:val="15"/>
              <w:keepNext w:val="0"/>
              <w:keepLines w:val="0"/>
              <w:pageBreakBefore w:val="0"/>
              <w:widowControl w:val="0"/>
              <w:kinsoku/>
              <w:wordWrap/>
              <w:overflowPunct/>
              <w:topLinePunct w:val="0"/>
              <w:bidi w:val="0"/>
              <w:adjustRightInd/>
              <w:snapToGrid/>
              <w:spacing w:before="0" w:after="0" w:line="200" w:lineRule="exact"/>
              <w:ind w:right="70"/>
              <w:jc w:val="center"/>
              <w:textAlignment w:val="auto"/>
              <w:outlineLvl w:val="9"/>
              <w:rPr>
                <w:sz w:val="16"/>
                <w:szCs w:val="16"/>
              </w:rPr>
            </w:pPr>
            <w:r>
              <w:rPr>
                <w:sz w:val="16"/>
                <w:szCs w:val="16"/>
              </w:rPr>
              <w:t>指标</w:t>
            </w: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sz w:val="16"/>
                <w:szCs w:val="16"/>
                <w:lang w:val="zh-CN" w:eastAsia="zh-CN" w:bidi="zh-CN"/>
              </w:rPr>
            </w:pPr>
            <w:r>
              <w:rPr>
                <w:rFonts w:hint="default" w:ascii="宋体" w:hAnsi="宋体" w:eastAsia="宋体" w:cs="宋体"/>
                <w:sz w:val="16"/>
                <w:szCs w:val="16"/>
                <w:lang w:val="zh-CN" w:eastAsia="zh-CN" w:bidi="zh-CN"/>
              </w:rPr>
              <w:t>面向城乡困难群体，持续开展“红十字博爱送万家”、天使阳光基金等救助活动，受益群众得到满意</w:t>
            </w:r>
            <w:r>
              <w:rPr>
                <w:rFonts w:hint="eastAsia" w:ascii="宋体" w:hAnsi="宋体" w:eastAsia="宋体" w:cs="宋体"/>
                <w:sz w:val="16"/>
                <w:szCs w:val="16"/>
                <w:lang w:val="zh-CN" w:eastAsia="zh-CN" w:bidi="zh-CN"/>
              </w:rPr>
              <w:t>。</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≧90%</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≧90%</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zh-CN" w:eastAsia="zh-CN" w:bidi="zh-CN"/>
              </w:rPr>
            </w:pPr>
            <w:r>
              <w:rPr>
                <w:rFonts w:hint="eastAsia" w:ascii="Times New Roman" w:hAnsi="Times New Roman" w:eastAsia="宋体" w:cs="Times New Roman"/>
                <w:sz w:val="16"/>
                <w:szCs w:val="16"/>
                <w:lang w:val="en-US" w:eastAsia="zh-CN" w:bidi="zh-CN"/>
              </w:rPr>
              <w:t>2.5</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5" w:hRule="atLeast"/>
        </w:trPr>
        <w:tc>
          <w:tcPr>
            <w:tcW w:w="465" w:type="dxa"/>
            <w:vMerge w:val="continue"/>
            <w:tcBorders>
              <w:top w:val="nil"/>
            </w:tcBorders>
            <w:vAlign w:val="top"/>
          </w:tcPr>
          <w:p>
            <w:pPr>
              <w:rPr>
                <w:sz w:val="2"/>
                <w:szCs w:val="2"/>
              </w:rPr>
            </w:pPr>
          </w:p>
        </w:tc>
        <w:tc>
          <w:tcPr>
            <w:tcW w:w="589" w:type="dxa"/>
            <w:vMerge w:val="continue"/>
            <w:tcBorders>
              <w:top w:val="nil"/>
            </w:tcBorders>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232" w:right="70" w:firstLine="0" w:firstLineChars="0"/>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sz w:val="16"/>
                <w:szCs w:val="16"/>
                <w:lang w:val="zh-CN" w:eastAsia="zh-CN" w:bidi="zh-CN"/>
              </w:rPr>
            </w:pPr>
            <w:r>
              <w:rPr>
                <w:rFonts w:hint="default" w:ascii="宋体" w:hAnsi="宋体" w:eastAsia="宋体" w:cs="宋体"/>
                <w:sz w:val="16"/>
                <w:szCs w:val="16"/>
                <w:lang w:val="zh-CN" w:eastAsia="zh-CN" w:bidi="zh-CN"/>
              </w:rPr>
              <w:t>造血干细胞捐献是一项拯救生命的善心之旅，需要全社会关心、支持与参与。社会各界爱心人士踊跃加入到造血干细胞志愿者捐献队伍的爱心和行动，将会为更多血液病患者重燃生命之光，带来生的希望.</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≧90%</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≧90%</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4" w:hRule="atLeast"/>
        </w:trPr>
        <w:tc>
          <w:tcPr>
            <w:tcW w:w="465" w:type="dxa"/>
            <w:vMerge w:val="continue"/>
            <w:tcBorders>
              <w:top w:val="nil"/>
            </w:tcBorders>
            <w:vAlign w:val="top"/>
          </w:tcPr>
          <w:p>
            <w:pPr>
              <w:rPr>
                <w:sz w:val="2"/>
                <w:szCs w:val="2"/>
              </w:rPr>
            </w:pPr>
          </w:p>
        </w:tc>
        <w:tc>
          <w:tcPr>
            <w:tcW w:w="589" w:type="dxa"/>
            <w:vMerge w:val="continue"/>
            <w:tcBorders>
              <w:top w:val="nil"/>
            </w:tcBorders>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16"/>
                <w:szCs w:val="16"/>
              </w:rPr>
            </w:pPr>
          </w:p>
        </w:tc>
        <w:tc>
          <w:tcPr>
            <w:tcW w:w="828" w:type="dxa"/>
            <w:gridSpan w:val="2"/>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232" w:right="70" w:firstLine="0" w:firstLineChars="0"/>
              <w:textAlignment w:val="auto"/>
              <w:outlineLvl w:val="9"/>
              <w:rPr>
                <w:sz w:val="16"/>
                <w:szCs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sz w:val="16"/>
                <w:szCs w:val="16"/>
                <w:lang w:val="zh-CN" w:eastAsia="zh-CN" w:bidi="zh-CN"/>
              </w:rPr>
            </w:pPr>
            <w:r>
              <w:rPr>
                <w:rFonts w:hint="default" w:ascii="宋体" w:hAnsi="宋体" w:eastAsia="宋体" w:cs="宋体"/>
                <w:sz w:val="16"/>
                <w:szCs w:val="16"/>
                <w:lang w:val="zh-CN" w:eastAsia="zh-CN" w:bidi="zh-CN"/>
              </w:rPr>
              <w:t>越来越完善的AED布局和及时响应的黄金抢救时间，将会补齐公共服务短板，更好保障人民群众的生命安全，更能体现一个文明城市应有的胸怀和温度。推广AED伴行计划与应急救护培训工作不但能够推动社会各方面给予群众性应急救护更多地关注与支持，而且能呼吁更多的人参加红十字应急救护培训，在紧急情况发生时能够勇于施救、科学施救，在保护自己和他人的生命与安全的同时，将会大大提升人民群众的幸福感、安全感、满足感。充分发挥群众性应急救护培训主体作用，形成“人人学急救、急救为人人”的社会风尚</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≧90%</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16"/>
                <w:lang w:val="zh-CN" w:eastAsia="zh-CN" w:bidi="zh-CN"/>
              </w:rPr>
            </w:pPr>
            <w:r>
              <w:rPr>
                <w:rFonts w:hint="default" w:ascii="宋体" w:hAnsi="宋体" w:eastAsia="宋体" w:cs="宋体"/>
                <w:kern w:val="2"/>
                <w:sz w:val="16"/>
                <w:szCs w:val="16"/>
                <w:lang w:val="zh-CN" w:eastAsia="zh-CN" w:bidi="zh-CN"/>
              </w:rPr>
              <w:t>≧90%</w:t>
            </w:r>
          </w:p>
        </w:tc>
        <w:tc>
          <w:tcPr>
            <w:tcW w:w="600" w:type="dxa"/>
            <w:gridSpan w:val="2"/>
            <w:vAlign w:val="center"/>
          </w:tcPr>
          <w:p>
            <w:pPr>
              <w:keepNext w:val="0"/>
              <w:keepLines w:val="0"/>
              <w:pageBreakBefore w:val="0"/>
              <w:widowControl w:val="0"/>
              <w:tabs>
                <w:tab w:val="left" w:pos="441"/>
              </w:tabs>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16"/>
                <w:lang w:val="en-US" w:eastAsia="zh-CN" w:bidi="zh-CN"/>
              </w:rPr>
            </w:pPr>
            <w:r>
              <w:rPr>
                <w:rFonts w:hint="eastAsia" w:ascii="Times New Roman" w:hAnsi="Times New Roman" w:eastAsia="宋体" w:cs="Times New Roman"/>
                <w:sz w:val="16"/>
                <w:szCs w:val="16"/>
                <w:lang w:val="en-US" w:eastAsia="zh-CN" w:bidi="zh-CN"/>
              </w:rPr>
              <w:t>2.5</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0" w:hRule="atLeast"/>
        </w:trPr>
        <w:tc>
          <w:tcPr>
            <w:tcW w:w="465" w:type="dxa"/>
            <w:vMerge w:val="continue"/>
            <w:tcBorders>
              <w:top w:val="nil"/>
            </w:tcBorders>
            <w:vAlign w:val="top"/>
          </w:tcPr>
          <w:p>
            <w:pPr>
              <w:rPr>
                <w:sz w:val="2"/>
                <w:szCs w:val="2"/>
              </w:rPr>
            </w:pPr>
          </w:p>
        </w:tc>
        <w:tc>
          <w:tcPr>
            <w:tcW w:w="589" w:type="dxa"/>
            <w:vMerge w:val="continue"/>
            <w:tcBorders>
              <w:top w:val="nil"/>
            </w:tcBorders>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2"/>
                <w:szCs w:val="2"/>
              </w:rPr>
            </w:pPr>
          </w:p>
        </w:tc>
        <w:tc>
          <w:tcPr>
            <w:tcW w:w="828" w:type="dxa"/>
            <w:gridSpan w:val="2"/>
            <w:vMerge w:val="continue"/>
            <w:vAlign w:val="top"/>
          </w:tcPr>
          <w:p>
            <w:pPr>
              <w:pStyle w:val="15"/>
              <w:keepNext w:val="0"/>
              <w:keepLines w:val="0"/>
              <w:pageBreakBefore w:val="0"/>
              <w:widowControl w:val="0"/>
              <w:kinsoku/>
              <w:wordWrap/>
              <w:overflowPunct/>
              <w:topLinePunct w:val="0"/>
              <w:bidi w:val="0"/>
              <w:adjustRightInd/>
              <w:snapToGrid/>
              <w:spacing w:before="0" w:after="0" w:line="200" w:lineRule="exact"/>
              <w:ind w:left="232" w:right="70" w:firstLine="0" w:firstLineChars="0"/>
              <w:textAlignment w:val="auto"/>
              <w:outlineLvl w:val="9"/>
              <w:rPr>
                <w:sz w:val="16"/>
              </w:rPr>
            </w:pP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sz w:val="16"/>
                <w:szCs w:val="22"/>
                <w:lang w:val="zh-CN" w:eastAsia="zh-CN" w:bidi="zh-CN"/>
              </w:rPr>
            </w:pPr>
            <w:r>
              <w:rPr>
                <w:rFonts w:hint="default" w:ascii="宋体" w:hAnsi="宋体" w:eastAsia="宋体" w:cs="宋体"/>
                <w:sz w:val="16"/>
                <w:szCs w:val="22"/>
                <w:lang w:val="zh-CN" w:eastAsia="zh-CN" w:bidi="zh-CN"/>
              </w:rPr>
              <w:t>人体器官（角膜）捐献宣传与动员，将会使更多社会爱心人士加入红十字器官捐献志愿者队伍，帮助更多患者可以通过器官移植来延续生命，同时对精神文明建设具有十分重要意义。</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≧90%</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≧90%</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22"/>
                <w:lang w:val="en-US" w:eastAsia="zh-CN" w:bidi="zh-CN"/>
              </w:rPr>
            </w:pPr>
            <w:r>
              <w:rPr>
                <w:rFonts w:hint="eastAsia" w:ascii="Times New Roman" w:hAnsi="Times New Roman" w:eastAsia="宋体" w:cs="Times New Roman"/>
                <w:sz w:val="16"/>
                <w:szCs w:val="22"/>
                <w:lang w:val="en-US" w:eastAsia="zh-CN" w:bidi="zh-CN"/>
              </w:rPr>
              <w:t>2.5</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Times New Roman" w:hAnsi="Times New Roman" w:eastAsia="宋体" w:cs="Times New Roman"/>
                <w:sz w:val="16"/>
                <w:szCs w:val="22"/>
                <w:lang w:val="en-US" w:eastAsia="zh-CN" w:bidi="zh-CN"/>
              </w:rPr>
            </w:pPr>
            <w:r>
              <w:rPr>
                <w:rFonts w:hint="eastAsia" w:ascii="Times New Roman" w:hAnsi="Times New Roman" w:eastAsia="宋体" w:cs="Times New Roman"/>
                <w:sz w:val="16"/>
                <w:szCs w:val="22"/>
                <w:lang w:val="en-US" w:eastAsia="zh-CN" w:bidi="zh-CN"/>
              </w:rPr>
              <w:t>2.5</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0" w:hRule="atLeast"/>
        </w:trPr>
        <w:tc>
          <w:tcPr>
            <w:tcW w:w="465" w:type="dxa"/>
            <w:vMerge w:val="continue"/>
            <w:tcBorders>
              <w:top w:val="nil"/>
            </w:tcBorders>
            <w:vAlign w:val="top"/>
          </w:tcPr>
          <w:p>
            <w:pPr>
              <w:rPr>
                <w:sz w:val="2"/>
                <w:szCs w:val="2"/>
              </w:rPr>
            </w:pPr>
          </w:p>
        </w:tc>
        <w:tc>
          <w:tcPr>
            <w:tcW w:w="589" w:type="dxa"/>
            <w:vMerge w:val="continue"/>
            <w:tcBorders>
              <w:top w:val="nil"/>
            </w:tcBorders>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2"/>
                <w:szCs w:val="2"/>
              </w:rPr>
            </w:pPr>
          </w:p>
        </w:tc>
        <w:tc>
          <w:tcPr>
            <w:tcW w:w="828"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left="55" w:leftChars="0" w:right="59" w:rightChars="0" w:firstLine="0" w:firstLineChars="0"/>
              <w:jc w:val="center"/>
              <w:textAlignment w:val="auto"/>
              <w:outlineLvl w:val="9"/>
              <w:rPr>
                <w:sz w:val="16"/>
              </w:rPr>
            </w:pPr>
            <w:r>
              <w:rPr>
                <w:rFonts w:hint="eastAsia"/>
                <w:sz w:val="16"/>
                <w:lang w:eastAsia="zh-CN"/>
              </w:rPr>
              <w:t>生态效益指标</w:t>
            </w: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left"/>
              <w:textAlignment w:val="auto"/>
              <w:outlineLvl w:val="9"/>
              <w:rPr>
                <w:rFonts w:hint="default" w:ascii="宋体" w:hAnsi="宋体" w:eastAsia="宋体" w:cs="宋体"/>
                <w:sz w:val="16"/>
                <w:szCs w:val="22"/>
                <w:lang w:val="zh-CN" w:eastAsia="zh-CN" w:bidi="zh-CN"/>
              </w:rPr>
            </w:pPr>
            <w:r>
              <w:rPr>
                <w:rFonts w:hint="default" w:ascii="Times New Roman" w:hAnsi="Times New Roman" w:eastAsia="宋体" w:cs="Times New Roman"/>
                <w:i w:val="0"/>
                <w:color w:val="000000"/>
                <w:kern w:val="2"/>
                <w:sz w:val="16"/>
                <w:szCs w:val="16"/>
                <w:u w:val="none"/>
                <w:lang w:val="en-US" w:eastAsia="zh-CN" w:bidi="zh-CN"/>
              </w:rPr>
              <w:t>落实 “过紧日子” 要求，通过办公耗材按需采购、公务出行统筹规划等措施，做好节能减排管理，减少资源浪费</w:t>
            </w:r>
            <w:r>
              <w:rPr>
                <w:rFonts w:hint="eastAsia" w:ascii="Times New Roman" w:hAnsi="Times New Roman" w:eastAsia="宋体" w:cs="Times New Roman"/>
                <w:i w:val="0"/>
                <w:color w:val="000000"/>
                <w:kern w:val="2"/>
                <w:sz w:val="16"/>
                <w:szCs w:val="16"/>
                <w:u w:val="none"/>
                <w:lang w:val="en-US" w:eastAsia="zh-CN" w:bidi="zh-CN"/>
              </w:rPr>
              <w:t>。</w:t>
            </w:r>
          </w:p>
        </w:tc>
        <w:tc>
          <w:tcPr>
            <w:tcW w:w="94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16"/>
                <w:lang w:val="zh-CN" w:eastAsia="zh-CN" w:bidi="zh-CN"/>
              </w:rPr>
              <w:t>≧</w:t>
            </w:r>
            <w:r>
              <w:rPr>
                <w:rFonts w:hint="eastAsia" w:ascii="宋体" w:hAnsi="宋体" w:eastAsia="宋体" w:cs="宋体"/>
                <w:kern w:val="2"/>
                <w:sz w:val="16"/>
                <w:szCs w:val="16"/>
                <w:lang w:val="zh-CN" w:eastAsia="zh-CN" w:bidi="zh-CN"/>
              </w:rPr>
              <w:t>良</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16"/>
                <w:lang w:val="zh-CN" w:eastAsia="zh-CN" w:bidi="zh-CN"/>
              </w:rPr>
              <w:t>≧</w:t>
            </w:r>
            <w:r>
              <w:rPr>
                <w:rFonts w:hint="eastAsia" w:ascii="宋体" w:hAnsi="宋体" w:eastAsia="宋体" w:cs="宋体"/>
                <w:kern w:val="2"/>
                <w:sz w:val="16"/>
                <w:szCs w:val="16"/>
                <w:lang w:val="zh-CN" w:eastAsia="zh-CN" w:bidi="zh-CN"/>
              </w:rPr>
              <w:t>良</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eastAsia" w:ascii="宋体" w:hAnsi="宋体" w:eastAsia="宋体" w:cs="宋体"/>
                <w:kern w:val="2"/>
                <w:sz w:val="16"/>
                <w:szCs w:val="22"/>
                <w:lang w:val="en-US" w:eastAsia="zh-CN" w:bidi="zh-CN"/>
              </w:rPr>
            </w:pPr>
            <w:r>
              <w:rPr>
                <w:rFonts w:hint="eastAsia" w:ascii="宋体" w:hAnsi="宋体" w:eastAsia="宋体" w:cs="宋体"/>
                <w:kern w:val="2"/>
                <w:sz w:val="16"/>
                <w:szCs w:val="22"/>
                <w:lang w:val="en-US" w:eastAsia="zh-CN" w:bidi="zh-CN"/>
              </w:rPr>
              <w:t>10</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eastAsia" w:ascii="宋体" w:hAnsi="宋体" w:eastAsia="宋体" w:cs="宋体"/>
                <w:kern w:val="2"/>
                <w:sz w:val="16"/>
                <w:szCs w:val="22"/>
                <w:lang w:val="en-US" w:eastAsia="zh-CN" w:bidi="zh-CN"/>
              </w:rPr>
            </w:pPr>
            <w:r>
              <w:rPr>
                <w:rFonts w:hint="eastAsia" w:ascii="宋体" w:hAnsi="宋体" w:eastAsia="宋体" w:cs="宋体"/>
                <w:kern w:val="2"/>
                <w:sz w:val="16"/>
                <w:szCs w:val="22"/>
                <w:lang w:val="en-US" w:eastAsia="zh-CN" w:bidi="zh-CN"/>
              </w:rPr>
              <w:t>10</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ascii="Times New Roman"/>
                <w:sz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 w:hRule="atLeast"/>
        </w:trPr>
        <w:tc>
          <w:tcPr>
            <w:tcW w:w="465" w:type="dxa"/>
            <w:vMerge w:val="continue"/>
            <w:tcBorders>
              <w:top w:val="nil"/>
            </w:tcBorders>
            <w:vAlign w:val="top"/>
          </w:tcPr>
          <w:p>
            <w:pPr>
              <w:rPr>
                <w:sz w:val="2"/>
                <w:szCs w:val="2"/>
              </w:rPr>
            </w:pPr>
          </w:p>
        </w:tc>
        <w:tc>
          <w:tcPr>
            <w:tcW w:w="589" w:type="dxa"/>
            <w:vMerge w:val="continue"/>
            <w:tcBorders>
              <w:top w:val="nil"/>
            </w:tcBorders>
            <w:vAlign w:val="top"/>
          </w:tcPr>
          <w:p>
            <w:pPr>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sz w:val="2"/>
                <w:szCs w:val="2"/>
              </w:rPr>
            </w:pPr>
          </w:p>
        </w:tc>
        <w:tc>
          <w:tcPr>
            <w:tcW w:w="828" w:type="dxa"/>
            <w:gridSpan w:val="2"/>
            <w:vAlign w:val="center"/>
          </w:tcPr>
          <w:p>
            <w:pPr>
              <w:pStyle w:val="15"/>
              <w:keepNext w:val="0"/>
              <w:keepLines w:val="0"/>
              <w:pageBreakBefore w:val="0"/>
              <w:widowControl w:val="0"/>
              <w:kinsoku/>
              <w:wordWrap/>
              <w:overflowPunct/>
              <w:topLinePunct w:val="0"/>
              <w:bidi w:val="0"/>
              <w:adjustRightInd/>
              <w:snapToGrid/>
              <w:spacing w:before="0" w:after="0" w:line="200" w:lineRule="exact"/>
              <w:ind w:left="67" w:right="7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可持续影响指标</w:t>
            </w:r>
          </w:p>
        </w:tc>
        <w:tc>
          <w:tcPr>
            <w:tcW w:w="2820" w:type="dxa"/>
            <w:gridSpan w:val="3"/>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left"/>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应急救护培训，设备（AED)不断配备，服务阵地不断完善，现场救护能力显著增强。发挥其安全体验、救护培训、科普宣教、教学实践等综合示范功能。</w:t>
            </w:r>
          </w:p>
        </w:tc>
        <w:tc>
          <w:tcPr>
            <w:tcW w:w="948"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长期开展</w:t>
            </w:r>
          </w:p>
        </w:tc>
        <w:tc>
          <w:tcPr>
            <w:tcW w:w="1190" w:type="dxa"/>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长期开展</w:t>
            </w:r>
          </w:p>
        </w:tc>
        <w:tc>
          <w:tcPr>
            <w:tcW w:w="600"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10</w:t>
            </w:r>
          </w:p>
        </w:tc>
        <w:tc>
          <w:tcPr>
            <w:tcW w:w="919" w:type="dxa"/>
            <w:gridSpan w:val="2"/>
            <w:vAlign w:val="center"/>
          </w:tcPr>
          <w:p>
            <w:pPr>
              <w:keepNext w:val="0"/>
              <w:keepLines w:val="0"/>
              <w:pageBreakBefore w:val="0"/>
              <w:widowControl w:val="0"/>
              <w:kinsoku/>
              <w:wordWrap/>
              <w:overflowPunct/>
              <w:topLinePunct w:val="0"/>
              <w:autoSpaceDE/>
              <w:autoSpaceDN/>
              <w:bidi w:val="0"/>
              <w:adjustRightInd/>
              <w:snapToGrid/>
              <w:spacing w:before="0" w:after="0" w:line="200" w:lineRule="exact"/>
              <w:ind w:left="0" w:leftChars="0" w:right="0" w:rightChars="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10</w:t>
            </w:r>
          </w:p>
        </w:tc>
        <w:tc>
          <w:tcPr>
            <w:tcW w:w="1601" w:type="dxa"/>
            <w:gridSpan w:val="2"/>
            <w:vAlign w:val="top"/>
          </w:tcPr>
          <w:p>
            <w:pPr>
              <w:pStyle w:val="15"/>
              <w:keepNext w:val="0"/>
              <w:keepLines w:val="0"/>
              <w:pageBreakBefore w:val="0"/>
              <w:widowControl w:val="0"/>
              <w:kinsoku/>
              <w:wordWrap/>
              <w:overflowPunct/>
              <w:topLinePunct w:val="0"/>
              <w:bidi w:val="0"/>
              <w:adjustRightInd/>
              <w:snapToGrid/>
              <w:spacing w:before="0" w:after="0" w:line="200" w:lineRule="exact"/>
              <w:ind w:firstLine="0" w:firstLineChars="0"/>
              <w:textAlignment w:val="auto"/>
              <w:outlineLvl w:val="9"/>
              <w:rPr>
                <w:rFonts w:hint="default" w:ascii="宋体" w:hAnsi="宋体" w:eastAsia="宋体" w:cs="宋体"/>
                <w:kern w:val="2"/>
                <w:sz w:val="16"/>
                <w:szCs w:val="22"/>
                <w:lang w:val="zh-CN" w:eastAsia="zh-CN" w:bidi="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1" w:hRule="atLeast"/>
        </w:trPr>
        <w:tc>
          <w:tcPr>
            <w:tcW w:w="465" w:type="dxa"/>
            <w:vMerge w:val="continue"/>
            <w:tcBorders>
              <w:top w:val="nil"/>
            </w:tcBorders>
            <w:vAlign w:val="top"/>
          </w:tcPr>
          <w:p>
            <w:pPr>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textAlignment w:val="auto"/>
              <w:outlineLvl w:val="9"/>
              <w:rPr>
                <w:sz w:val="2"/>
                <w:szCs w:val="2"/>
              </w:rPr>
            </w:pPr>
          </w:p>
        </w:tc>
        <w:tc>
          <w:tcPr>
            <w:tcW w:w="589" w:type="dxa"/>
            <w:vAlign w:val="top"/>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52" w:right="40" w:firstLine="0" w:firstLineChars="0"/>
              <w:jc w:val="both"/>
              <w:textAlignment w:val="auto"/>
              <w:outlineLvl w:val="9"/>
              <w:rPr>
                <w:sz w:val="16"/>
              </w:rPr>
            </w:pPr>
            <w:r>
              <w:rPr>
                <w:sz w:val="16"/>
              </w:rPr>
              <w:t>满意度指标</w:t>
            </w: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37" w:firstLine="0" w:firstLineChars="0"/>
              <w:textAlignment w:val="auto"/>
              <w:outlineLvl w:val="9"/>
              <w:rPr>
                <w:sz w:val="16"/>
              </w:rPr>
            </w:pPr>
            <w:r>
              <w:rPr>
                <w:spacing w:val="5"/>
                <w:sz w:val="16"/>
              </w:rPr>
              <w:t>（</w:t>
            </w:r>
            <w:r>
              <w:rPr>
                <w:rFonts w:hint="eastAsia"/>
                <w:spacing w:val="5"/>
                <w:sz w:val="16"/>
                <w:lang w:val="en-US" w:eastAsia="zh-CN"/>
              </w:rPr>
              <w:t>1</w:t>
            </w:r>
            <w:r>
              <w:rPr>
                <w:spacing w:val="5"/>
                <w:sz w:val="16"/>
              </w:rPr>
              <w:t>0</w:t>
            </w: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52" w:firstLine="0" w:firstLineChars="0"/>
              <w:textAlignment w:val="auto"/>
              <w:outlineLvl w:val="9"/>
              <w:rPr>
                <w:sz w:val="16"/>
              </w:rPr>
            </w:pPr>
            <w:r>
              <w:rPr>
                <w:spacing w:val="5"/>
                <w:sz w:val="16"/>
              </w:rPr>
              <w:t>分</w:t>
            </w:r>
            <w:r>
              <w:rPr>
                <w:sz w:val="16"/>
              </w:rPr>
              <w:t>）</w:t>
            </w:r>
          </w:p>
        </w:tc>
        <w:tc>
          <w:tcPr>
            <w:tcW w:w="828" w:type="dxa"/>
            <w:gridSpan w:val="2"/>
            <w:vAlign w:val="top"/>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textAlignment w:val="auto"/>
              <w:outlineLvl w:val="9"/>
              <w:rPr>
                <w:rFonts w:hint="default" w:ascii="宋体" w:hAnsi="宋体" w:eastAsia="宋体" w:cs="宋体"/>
                <w:kern w:val="2"/>
                <w:sz w:val="16"/>
                <w:szCs w:val="22"/>
                <w:lang w:val="zh-CN" w:eastAsia="zh-CN" w:bidi="zh-CN"/>
              </w:rPr>
            </w:pP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67" w:right="70"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服务对象满意度 指标</w:t>
            </w:r>
          </w:p>
        </w:tc>
        <w:tc>
          <w:tcPr>
            <w:tcW w:w="2820" w:type="dxa"/>
            <w:gridSpan w:val="3"/>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jc w:val="both"/>
              <w:textAlignment w:val="auto"/>
              <w:outlineLvl w:val="9"/>
              <w:rPr>
                <w:rFonts w:hint="default" w:ascii="宋体" w:hAnsi="宋体" w:eastAsia="宋体" w:cs="宋体"/>
                <w:kern w:val="2"/>
                <w:sz w:val="16"/>
                <w:szCs w:val="22"/>
                <w:lang w:val="zh-CN" w:eastAsia="zh-CN" w:bidi="zh-CN"/>
              </w:rPr>
            </w:pP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37" w:firstLine="0" w:firstLineChars="0"/>
              <w:jc w:val="both"/>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相关受益部门和单位及受益群众满意度</w:t>
            </w:r>
          </w:p>
        </w:tc>
        <w:tc>
          <w:tcPr>
            <w:tcW w:w="948" w:type="dxa"/>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jc w:val="center"/>
              <w:textAlignment w:val="auto"/>
              <w:outlineLvl w:val="9"/>
              <w:rPr>
                <w:rFonts w:hint="default" w:ascii="宋体" w:hAnsi="宋体" w:eastAsia="宋体" w:cs="宋体"/>
                <w:kern w:val="2"/>
                <w:sz w:val="16"/>
                <w:szCs w:val="22"/>
                <w:lang w:val="zh-CN" w:eastAsia="zh-CN" w:bidi="zh-CN"/>
              </w:rPr>
            </w:pP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≧90%</w:t>
            </w:r>
          </w:p>
        </w:tc>
        <w:tc>
          <w:tcPr>
            <w:tcW w:w="1190" w:type="dxa"/>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jc w:val="center"/>
              <w:textAlignment w:val="auto"/>
              <w:outlineLvl w:val="9"/>
              <w:rPr>
                <w:rFonts w:hint="default" w:ascii="宋体" w:hAnsi="宋体" w:eastAsia="宋体" w:cs="宋体"/>
                <w:kern w:val="2"/>
                <w:sz w:val="16"/>
                <w:szCs w:val="22"/>
                <w:lang w:val="zh-CN" w:eastAsia="zh-CN" w:bidi="zh-CN"/>
              </w:rPr>
            </w:pP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37" w:firstLine="0" w:firstLineChars="0"/>
              <w:jc w:val="center"/>
              <w:textAlignment w:val="auto"/>
              <w:outlineLvl w:val="9"/>
              <w:rPr>
                <w:rFonts w:hint="default" w:ascii="宋体" w:hAnsi="宋体" w:eastAsia="宋体" w:cs="宋体"/>
                <w:kern w:val="2"/>
                <w:sz w:val="16"/>
                <w:szCs w:val="22"/>
                <w:lang w:val="zh-CN" w:eastAsia="zh-CN" w:bidi="zh-CN"/>
              </w:rPr>
            </w:pPr>
            <w:r>
              <w:rPr>
                <w:rFonts w:hint="default" w:ascii="宋体" w:hAnsi="宋体" w:eastAsia="宋体" w:cs="宋体"/>
                <w:kern w:val="2"/>
                <w:sz w:val="16"/>
                <w:szCs w:val="22"/>
                <w:lang w:val="zh-CN" w:eastAsia="zh-CN" w:bidi="zh-CN"/>
              </w:rPr>
              <w:t>≧90%</w:t>
            </w:r>
          </w:p>
        </w:tc>
        <w:tc>
          <w:tcPr>
            <w:tcW w:w="600" w:type="dxa"/>
            <w:gridSpan w:val="2"/>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jc w:val="center"/>
              <w:textAlignment w:val="auto"/>
              <w:outlineLvl w:val="9"/>
              <w:rPr>
                <w:rFonts w:hint="default" w:ascii="宋体" w:hAnsi="宋体" w:eastAsia="宋体" w:cs="宋体"/>
                <w:kern w:val="2"/>
                <w:sz w:val="16"/>
                <w:szCs w:val="22"/>
                <w:lang w:val="zh-CN" w:eastAsia="zh-CN" w:bidi="zh-CN"/>
              </w:rPr>
            </w:pP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right="30" w:firstLine="0" w:firstLineChars="0"/>
              <w:jc w:val="center"/>
              <w:textAlignment w:val="auto"/>
              <w:outlineLvl w:val="9"/>
              <w:rPr>
                <w:rFonts w:hint="default" w:ascii="宋体" w:hAnsi="宋体" w:eastAsia="宋体" w:cs="宋体"/>
                <w:kern w:val="2"/>
                <w:sz w:val="16"/>
                <w:szCs w:val="22"/>
                <w:lang w:val="zh-CN" w:eastAsia="zh-CN" w:bidi="zh-CN"/>
              </w:rPr>
            </w:pPr>
            <w:r>
              <w:rPr>
                <w:rFonts w:hint="eastAsia" w:ascii="宋体" w:hAnsi="宋体" w:eastAsia="宋体" w:cs="宋体"/>
                <w:kern w:val="2"/>
                <w:sz w:val="16"/>
                <w:szCs w:val="22"/>
                <w:lang w:val="en-US" w:eastAsia="zh-CN" w:bidi="zh-CN"/>
              </w:rPr>
              <w:t>1</w:t>
            </w:r>
            <w:r>
              <w:rPr>
                <w:rFonts w:hint="default" w:ascii="宋体" w:hAnsi="宋体" w:eastAsia="宋体" w:cs="宋体"/>
                <w:kern w:val="2"/>
                <w:sz w:val="16"/>
                <w:szCs w:val="22"/>
                <w:lang w:val="zh-CN" w:eastAsia="zh-CN" w:bidi="zh-CN"/>
              </w:rPr>
              <w:t>0</w:t>
            </w:r>
          </w:p>
        </w:tc>
        <w:tc>
          <w:tcPr>
            <w:tcW w:w="919" w:type="dxa"/>
            <w:gridSpan w:val="2"/>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jc w:val="center"/>
              <w:textAlignment w:val="auto"/>
              <w:outlineLvl w:val="9"/>
              <w:rPr>
                <w:rFonts w:hint="default" w:ascii="宋体" w:hAnsi="宋体" w:eastAsia="宋体" w:cs="宋体"/>
                <w:kern w:val="2"/>
                <w:sz w:val="16"/>
                <w:szCs w:val="22"/>
                <w:lang w:val="zh-CN" w:eastAsia="zh-CN" w:bidi="zh-CN"/>
              </w:rPr>
            </w:pPr>
          </w:p>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right="30" w:firstLine="0" w:firstLineChars="0"/>
              <w:jc w:val="center"/>
              <w:textAlignment w:val="auto"/>
              <w:outlineLvl w:val="9"/>
              <w:rPr>
                <w:rFonts w:hint="default" w:ascii="宋体" w:hAnsi="宋体" w:eastAsia="宋体" w:cs="宋体"/>
                <w:kern w:val="2"/>
                <w:sz w:val="16"/>
                <w:szCs w:val="22"/>
                <w:lang w:val="zh-CN" w:eastAsia="zh-CN" w:bidi="zh-CN"/>
              </w:rPr>
            </w:pPr>
            <w:r>
              <w:rPr>
                <w:rFonts w:hint="eastAsia" w:ascii="宋体" w:hAnsi="宋体" w:eastAsia="宋体" w:cs="宋体"/>
                <w:kern w:val="2"/>
                <w:sz w:val="16"/>
                <w:szCs w:val="22"/>
                <w:lang w:val="en-US" w:eastAsia="zh-CN" w:bidi="zh-CN"/>
              </w:rPr>
              <w:t>1</w:t>
            </w:r>
            <w:r>
              <w:rPr>
                <w:rFonts w:hint="default" w:ascii="宋体" w:hAnsi="宋体" w:eastAsia="宋体" w:cs="宋体"/>
                <w:kern w:val="2"/>
                <w:sz w:val="16"/>
                <w:szCs w:val="22"/>
                <w:lang w:val="zh-CN" w:eastAsia="zh-CN" w:bidi="zh-CN"/>
              </w:rPr>
              <w:t>0</w:t>
            </w:r>
          </w:p>
        </w:tc>
        <w:tc>
          <w:tcPr>
            <w:tcW w:w="1601" w:type="dxa"/>
            <w:gridSpan w:val="2"/>
            <w:vAlign w:val="top"/>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textAlignment w:val="auto"/>
              <w:outlineLvl w:val="9"/>
              <w:rPr>
                <w:rFonts w:hint="default" w:ascii="宋体" w:hAnsi="宋体" w:eastAsia="宋体" w:cs="宋体"/>
                <w:kern w:val="2"/>
                <w:sz w:val="16"/>
                <w:szCs w:val="22"/>
                <w:lang w:val="zh-CN" w:eastAsia="zh-CN" w:bidi="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6840" w:type="dxa"/>
            <w:gridSpan w:val="9"/>
            <w:vAlign w:val="center"/>
          </w:tcPr>
          <w:p>
            <w:pPr>
              <w:pStyle w:val="15"/>
              <w:keepNext w:val="0"/>
              <w:keepLines w:val="0"/>
              <w:pageBreakBefore w:val="0"/>
              <w:widowControl w:val="0"/>
              <w:tabs>
                <w:tab w:val="left" w:pos="849"/>
              </w:tabs>
              <w:kinsoku/>
              <w:wordWrap/>
              <w:overflowPunct/>
              <w:topLinePunct w:val="0"/>
              <w:autoSpaceDE w:val="0"/>
              <w:autoSpaceDN w:val="0"/>
              <w:bidi w:val="0"/>
              <w:adjustRightInd/>
              <w:snapToGrid/>
              <w:spacing w:before="0" w:after="0" w:line="200" w:lineRule="exact"/>
              <w:ind w:left="10" w:firstLine="0" w:firstLineChars="0"/>
              <w:jc w:val="center"/>
              <w:textAlignment w:val="auto"/>
              <w:outlineLvl w:val="9"/>
              <w:rPr>
                <w:b/>
                <w:sz w:val="16"/>
              </w:rPr>
            </w:pPr>
            <w:r>
              <w:rPr>
                <w:b/>
                <w:sz w:val="16"/>
              </w:rPr>
              <w:t>总</w:t>
            </w:r>
            <w:r>
              <w:rPr>
                <w:b/>
                <w:sz w:val="16"/>
              </w:rPr>
              <w:tab/>
            </w:r>
            <w:r>
              <w:rPr>
                <w:b/>
                <w:sz w:val="16"/>
              </w:rPr>
              <w:t>分</w:t>
            </w:r>
          </w:p>
        </w:tc>
        <w:tc>
          <w:tcPr>
            <w:tcW w:w="600" w:type="dxa"/>
            <w:gridSpan w:val="2"/>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left="172" w:firstLine="0" w:firstLineChars="0"/>
              <w:jc w:val="center"/>
              <w:textAlignment w:val="auto"/>
              <w:outlineLvl w:val="9"/>
              <w:rPr>
                <w:b/>
                <w:sz w:val="16"/>
              </w:rPr>
            </w:pPr>
            <w:r>
              <w:rPr>
                <w:b/>
                <w:sz w:val="16"/>
              </w:rPr>
              <w:t>100</w:t>
            </w:r>
          </w:p>
        </w:tc>
        <w:tc>
          <w:tcPr>
            <w:tcW w:w="919" w:type="dxa"/>
            <w:gridSpan w:val="2"/>
            <w:vAlign w:val="center"/>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right="256"/>
              <w:jc w:val="center"/>
              <w:textAlignment w:val="auto"/>
              <w:outlineLvl w:val="9"/>
              <w:rPr>
                <w:rFonts w:hint="default" w:eastAsia="宋体"/>
                <w:b/>
                <w:sz w:val="16"/>
                <w:lang w:val="en-US" w:eastAsia="zh-CN"/>
              </w:rPr>
            </w:pPr>
            <w:r>
              <w:rPr>
                <w:rFonts w:hint="eastAsia"/>
                <w:b/>
                <w:sz w:val="16"/>
                <w:lang w:val="en-US" w:eastAsia="zh-CN"/>
              </w:rPr>
              <w:t>100</w:t>
            </w:r>
          </w:p>
        </w:tc>
        <w:tc>
          <w:tcPr>
            <w:tcW w:w="1601" w:type="dxa"/>
            <w:gridSpan w:val="2"/>
            <w:vAlign w:val="top"/>
          </w:tcPr>
          <w:p>
            <w:pPr>
              <w:pStyle w:val="15"/>
              <w:keepNext w:val="0"/>
              <w:keepLines w:val="0"/>
              <w:pageBreakBefore w:val="0"/>
              <w:widowControl w:val="0"/>
              <w:kinsoku/>
              <w:wordWrap/>
              <w:overflowPunct/>
              <w:topLinePunct w:val="0"/>
              <w:autoSpaceDE w:val="0"/>
              <w:autoSpaceDN w:val="0"/>
              <w:bidi w:val="0"/>
              <w:adjustRightInd/>
              <w:snapToGrid/>
              <w:spacing w:before="0" w:after="0" w:line="200" w:lineRule="exact"/>
              <w:ind w:firstLine="0" w:firstLineChars="0"/>
              <w:textAlignment w:val="auto"/>
              <w:outlineLvl w:val="9"/>
              <w:rPr>
                <w:rFonts w:ascii="Times New Roman"/>
                <w:sz w:val="16"/>
              </w:rPr>
            </w:pPr>
          </w:p>
        </w:tc>
      </w:tr>
    </w:tbl>
    <w:p>
      <w:pPr>
        <w:spacing w:before="156" w:beforeLines="50" w:line="560" w:lineRule="exact"/>
        <w:ind w:firstLine="640" w:firstLineChars="200"/>
        <w:outlineLvl w:val="1"/>
        <w:rPr>
          <w:rFonts w:ascii="Times New Roman" w:hAnsi="Times New Roman" w:eastAsia="仿宋_GB2312" w:cs="Times New Roman"/>
          <w:kern w:val="0"/>
          <w:sz w:val="32"/>
          <w:szCs w:val="32"/>
        </w:rPr>
      </w:pPr>
    </w:p>
    <w:p>
      <w:pPr>
        <w:spacing w:before="156" w:beforeLines="50" w:line="560" w:lineRule="exact"/>
        <w:ind w:firstLine="640" w:firstLineChars="200"/>
        <w:outlineLvl w:val="1"/>
        <w:rPr>
          <w:rFonts w:ascii="Times New Roman" w:hAnsi="Times New Roman" w:eastAsia="仿宋_GB2312" w:cs="Times New Roman"/>
          <w:kern w:val="0"/>
          <w:sz w:val="32"/>
          <w:szCs w:val="32"/>
        </w:rPr>
      </w:pPr>
    </w:p>
    <w:sectPr>
      <w:footerReference r:id="rId4" w:type="default"/>
      <w:footerReference r:id="rId5" w:type="even"/>
      <w:pgSz w:w="11906" w:h="16838"/>
      <w:pgMar w:top="1440" w:right="1417" w:bottom="1440" w:left="141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44"/>
                              <w:lang w:eastAsia="zh-CN"/>
                            </w:rPr>
                          </w:pPr>
                          <w:r>
                            <w:rPr>
                              <w:rFonts w:hint="eastAsia" w:ascii="宋体" w:hAnsi="宋体" w:eastAsia="宋体" w:cs="宋体"/>
                              <w:sz w:val="28"/>
                              <w:szCs w:val="44"/>
                              <w:lang w:eastAsia="zh-CN"/>
                            </w:rPr>
                            <w:fldChar w:fldCharType="begin"/>
                          </w:r>
                          <w:r>
                            <w:rPr>
                              <w:rFonts w:hint="eastAsia" w:ascii="宋体" w:hAnsi="宋体" w:eastAsia="宋体" w:cs="宋体"/>
                              <w:sz w:val="28"/>
                              <w:szCs w:val="44"/>
                              <w:lang w:eastAsia="zh-CN"/>
                            </w:rPr>
                            <w:instrText xml:space="preserve"> PAGE  \* MERGEFORMAT </w:instrText>
                          </w:r>
                          <w:r>
                            <w:rPr>
                              <w:rFonts w:hint="eastAsia" w:ascii="宋体" w:hAnsi="宋体" w:eastAsia="宋体" w:cs="宋体"/>
                              <w:sz w:val="28"/>
                              <w:szCs w:val="44"/>
                              <w:lang w:eastAsia="zh-CN"/>
                            </w:rPr>
                            <w:fldChar w:fldCharType="separate"/>
                          </w:r>
                          <w:r>
                            <w:rPr>
                              <w:rFonts w:hint="eastAsia" w:ascii="宋体" w:hAnsi="宋体" w:eastAsia="宋体" w:cs="宋体"/>
                              <w:sz w:val="28"/>
                              <w:szCs w:val="44"/>
                              <w:lang w:eastAsia="zh-CN"/>
                            </w:rPr>
                            <w:t>1</w:t>
                          </w:r>
                          <w:r>
                            <w:rPr>
                              <w:rFonts w:hint="eastAsia" w:ascii="宋体" w:hAnsi="宋体" w:eastAsia="宋体" w:cs="宋体"/>
                              <w:sz w:val="28"/>
                              <w:szCs w:val="4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44"/>
                        <w:lang w:eastAsia="zh-CN"/>
                      </w:rPr>
                    </w:pPr>
                    <w:r>
                      <w:rPr>
                        <w:rFonts w:hint="eastAsia" w:ascii="宋体" w:hAnsi="宋体" w:eastAsia="宋体" w:cs="宋体"/>
                        <w:sz w:val="28"/>
                        <w:szCs w:val="44"/>
                        <w:lang w:eastAsia="zh-CN"/>
                      </w:rPr>
                      <w:fldChar w:fldCharType="begin"/>
                    </w:r>
                    <w:r>
                      <w:rPr>
                        <w:rFonts w:hint="eastAsia" w:ascii="宋体" w:hAnsi="宋体" w:eastAsia="宋体" w:cs="宋体"/>
                        <w:sz w:val="28"/>
                        <w:szCs w:val="44"/>
                        <w:lang w:eastAsia="zh-CN"/>
                      </w:rPr>
                      <w:instrText xml:space="preserve"> PAGE  \* MERGEFORMAT </w:instrText>
                    </w:r>
                    <w:r>
                      <w:rPr>
                        <w:rFonts w:hint="eastAsia" w:ascii="宋体" w:hAnsi="宋体" w:eastAsia="宋体" w:cs="宋体"/>
                        <w:sz w:val="28"/>
                        <w:szCs w:val="44"/>
                        <w:lang w:eastAsia="zh-CN"/>
                      </w:rPr>
                      <w:fldChar w:fldCharType="separate"/>
                    </w:r>
                    <w:r>
                      <w:rPr>
                        <w:rFonts w:hint="eastAsia" w:ascii="宋体" w:hAnsi="宋体" w:eastAsia="宋体" w:cs="宋体"/>
                        <w:sz w:val="28"/>
                        <w:szCs w:val="44"/>
                        <w:lang w:eastAsia="zh-CN"/>
                      </w:rPr>
                      <w:t>1</w:t>
                    </w:r>
                    <w:r>
                      <w:rPr>
                        <w:rFonts w:hint="eastAsia" w:ascii="宋体" w:hAnsi="宋体" w:eastAsia="宋体" w:cs="宋体"/>
                        <w:sz w:val="28"/>
                        <w:szCs w:val="4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7"/>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F6DB0C"/>
    <w:multiLevelType w:val="singleLevel"/>
    <w:tmpl w:val="64F6DB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YjI5NTc5YzZhZjA4ZDRkZGRiODVjNDYzYjNmMTIifQ=="/>
  </w:docVars>
  <w:rsids>
    <w:rsidRoot w:val="00172A27"/>
    <w:rsid w:val="00263C89"/>
    <w:rsid w:val="00E35B81"/>
    <w:rsid w:val="015155C3"/>
    <w:rsid w:val="031C4091"/>
    <w:rsid w:val="03D769E2"/>
    <w:rsid w:val="05DF577F"/>
    <w:rsid w:val="066E5855"/>
    <w:rsid w:val="07DD6BB3"/>
    <w:rsid w:val="08A05749"/>
    <w:rsid w:val="08F37F1F"/>
    <w:rsid w:val="0A170CCA"/>
    <w:rsid w:val="0B392E4B"/>
    <w:rsid w:val="0B5D3616"/>
    <w:rsid w:val="0BAD4E0B"/>
    <w:rsid w:val="0CF35131"/>
    <w:rsid w:val="0D04494E"/>
    <w:rsid w:val="0E083A05"/>
    <w:rsid w:val="0EEB340B"/>
    <w:rsid w:val="0F2842C3"/>
    <w:rsid w:val="0F680B9E"/>
    <w:rsid w:val="10AE2D8F"/>
    <w:rsid w:val="10CA7EBE"/>
    <w:rsid w:val="11F143A1"/>
    <w:rsid w:val="12D954E7"/>
    <w:rsid w:val="131727D7"/>
    <w:rsid w:val="137F38AF"/>
    <w:rsid w:val="13976AF0"/>
    <w:rsid w:val="13D906ED"/>
    <w:rsid w:val="150D6FD1"/>
    <w:rsid w:val="16D951E7"/>
    <w:rsid w:val="18CA307C"/>
    <w:rsid w:val="1A49182B"/>
    <w:rsid w:val="1AA71346"/>
    <w:rsid w:val="1BBC4A08"/>
    <w:rsid w:val="1BD45095"/>
    <w:rsid w:val="1C01040B"/>
    <w:rsid w:val="1D4D1B4A"/>
    <w:rsid w:val="1E022491"/>
    <w:rsid w:val="204F6959"/>
    <w:rsid w:val="212A3855"/>
    <w:rsid w:val="2206556A"/>
    <w:rsid w:val="22151A6B"/>
    <w:rsid w:val="22616912"/>
    <w:rsid w:val="238C6090"/>
    <w:rsid w:val="241C0D35"/>
    <w:rsid w:val="24737B02"/>
    <w:rsid w:val="24A10B8D"/>
    <w:rsid w:val="274E03DB"/>
    <w:rsid w:val="27817BF7"/>
    <w:rsid w:val="27C212FD"/>
    <w:rsid w:val="28860A6B"/>
    <w:rsid w:val="28F31268"/>
    <w:rsid w:val="29C248FF"/>
    <w:rsid w:val="2A0E5255"/>
    <w:rsid w:val="2AF00552"/>
    <w:rsid w:val="2B0A11F7"/>
    <w:rsid w:val="2BC60EBE"/>
    <w:rsid w:val="2BE011BF"/>
    <w:rsid w:val="2C1C39C7"/>
    <w:rsid w:val="2C363DD6"/>
    <w:rsid w:val="2C56247B"/>
    <w:rsid w:val="2C9F4483"/>
    <w:rsid w:val="2E3F7D4B"/>
    <w:rsid w:val="2ECD391C"/>
    <w:rsid w:val="2EF43CB3"/>
    <w:rsid w:val="2FBA6E7B"/>
    <w:rsid w:val="301409F2"/>
    <w:rsid w:val="302703EE"/>
    <w:rsid w:val="32AB706D"/>
    <w:rsid w:val="33B91979"/>
    <w:rsid w:val="36761510"/>
    <w:rsid w:val="36F272D2"/>
    <w:rsid w:val="378B2A22"/>
    <w:rsid w:val="381E6E8F"/>
    <w:rsid w:val="393B2C37"/>
    <w:rsid w:val="39493E91"/>
    <w:rsid w:val="395778BD"/>
    <w:rsid w:val="3A172451"/>
    <w:rsid w:val="3D6D460C"/>
    <w:rsid w:val="3D82194C"/>
    <w:rsid w:val="3E1F4154"/>
    <w:rsid w:val="3EFD508F"/>
    <w:rsid w:val="3F78018F"/>
    <w:rsid w:val="3FAC0518"/>
    <w:rsid w:val="40290A28"/>
    <w:rsid w:val="40FE69F5"/>
    <w:rsid w:val="42F01D3B"/>
    <w:rsid w:val="43BB3517"/>
    <w:rsid w:val="448D6462"/>
    <w:rsid w:val="452D4B0C"/>
    <w:rsid w:val="455652AA"/>
    <w:rsid w:val="459A39B2"/>
    <w:rsid w:val="45B71EF7"/>
    <w:rsid w:val="45D46EE2"/>
    <w:rsid w:val="464F28ED"/>
    <w:rsid w:val="47274CF3"/>
    <w:rsid w:val="48065BE1"/>
    <w:rsid w:val="485B1CE5"/>
    <w:rsid w:val="499B398E"/>
    <w:rsid w:val="49CB19E8"/>
    <w:rsid w:val="4A9C229A"/>
    <w:rsid w:val="4B2D328C"/>
    <w:rsid w:val="4BA20B39"/>
    <w:rsid w:val="4D6B5DED"/>
    <w:rsid w:val="4DB374A9"/>
    <w:rsid w:val="4EDC4738"/>
    <w:rsid w:val="4EFE2BAF"/>
    <w:rsid w:val="4F8E14CA"/>
    <w:rsid w:val="502A7DD3"/>
    <w:rsid w:val="50996960"/>
    <w:rsid w:val="513856C4"/>
    <w:rsid w:val="52101F5F"/>
    <w:rsid w:val="52534AAB"/>
    <w:rsid w:val="53594E74"/>
    <w:rsid w:val="542F26AE"/>
    <w:rsid w:val="563912AA"/>
    <w:rsid w:val="566564DE"/>
    <w:rsid w:val="57304FB4"/>
    <w:rsid w:val="57564D81"/>
    <w:rsid w:val="5786595D"/>
    <w:rsid w:val="57E271F7"/>
    <w:rsid w:val="58373A29"/>
    <w:rsid w:val="58DB54D4"/>
    <w:rsid w:val="58DC1719"/>
    <w:rsid w:val="597B1E48"/>
    <w:rsid w:val="598D0FBE"/>
    <w:rsid w:val="59C64714"/>
    <w:rsid w:val="5B280DFC"/>
    <w:rsid w:val="5B6248A9"/>
    <w:rsid w:val="5B7003CF"/>
    <w:rsid w:val="5B983284"/>
    <w:rsid w:val="5BCF41F2"/>
    <w:rsid w:val="5C820A1F"/>
    <w:rsid w:val="5EF7291B"/>
    <w:rsid w:val="5F5C4615"/>
    <w:rsid w:val="5FE70A3B"/>
    <w:rsid w:val="60760147"/>
    <w:rsid w:val="60B55A87"/>
    <w:rsid w:val="61556A40"/>
    <w:rsid w:val="62A661A1"/>
    <w:rsid w:val="639E1146"/>
    <w:rsid w:val="64133513"/>
    <w:rsid w:val="641D17A9"/>
    <w:rsid w:val="64592D73"/>
    <w:rsid w:val="648B0C19"/>
    <w:rsid w:val="64E27DEC"/>
    <w:rsid w:val="64FC3A1B"/>
    <w:rsid w:val="65BC02EA"/>
    <w:rsid w:val="668632AD"/>
    <w:rsid w:val="66DB43E3"/>
    <w:rsid w:val="67175542"/>
    <w:rsid w:val="67F74457"/>
    <w:rsid w:val="68E93FE9"/>
    <w:rsid w:val="6A9E4C9F"/>
    <w:rsid w:val="6B7B403B"/>
    <w:rsid w:val="6B7E0FF3"/>
    <w:rsid w:val="6BCA5361"/>
    <w:rsid w:val="6BCE0C93"/>
    <w:rsid w:val="6D044B70"/>
    <w:rsid w:val="6DE17FF1"/>
    <w:rsid w:val="6E26552B"/>
    <w:rsid w:val="6EA36593"/>
    <w:rsid w:val="6F025DCF"/>
    <w:rsid w:val="6F5835D1"/>
    <w:rsid w:val="6FFB27C7"/>
    <w:rsid w:val="71471159"/>
    <w:rsid w:val="71790296"/>
    <w:rsid w:val="71FEF42E"/>
    <w:rsid w:val="72870861"/>
    <w:rsid w:val="729588F4"/>
    <w:rsid w:val="72E87950"/>
    <w:rsid w:val="7311437F"/>
    <w:rsid w:val="73FF93B1"/>
    <w:rsid w:val="7480674A"/>
    <w:rsid w:val="74F64656"/>
    <w:rsid w:val="754B4587"/>
    <w:rsid w:val="759464E5"/>
    <w:rsid w:val="75DD2C1D"/>
    <w:rsid w:val="77E93066"/>
    <w:rsid w:val="77FB6CA7"/>
    <w:rsid w:val="783A3D48"/>
    <w:rsid w:val="785F788C"/>
    <w:rsid w:val="79FE07E4"/>
    <w:rsid w:val="7AA513D7"/>
    <w:rsid w:val="7C17574C"/>
    <w:rsid w:val="7C760DCA"/>
    <w:rsid w:val="7CB30E94"/>
    <w:rsid w:val="7D6875DD"/>
    <w:rsid w:val="7E7CFCD8"/>
    <w:rsid w:val="7EA00B37"/>
    <w:rsid w:val="7EFE598F"/>
    <w:rsid w:val="7F9FC596"/>
    <w:rsid w:val="97FC491D"/>
    <w:rsid w:val="A0CA2A31"/>
    <w:rsid w:val="AF7BE9A5"/>
    <w:rsid w:val="BAFB5229"/>
    <w:rsid w:val="BAFEE883"/>
    <w:rsid w:val="BEFF5633"/>
    <w:rsid w:val="C6C4A334"/>
    <w:rsid w:val="C7BF7879"/>
    <w:rsid w:val="DF3F5335"/>
    <w:rsid w:val="EAF39CD9"/>
    <w:rsid w:val="EFE648C1"/>
    <w:rsid w:val="F5FD1EF8"/>
    <w:rsid w:val="F7F26A7A"/>
    <w:rsid w:val="FAA6C930"/>
    <w:rsid w:val="FD5E79E0"/>
    <w:rsid w:val="FEBF396F"/>
    <w:rsid w:val="FFAF2AEA"/>
    <w:rsid w:val="FFD6F024"/>
    <w:rsid w:val="FFF59527"/>
    <w:rsid w:val="FFFB6B83"/>
    <w:rsid w:val="FFFFD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4"/>
    <w:qFormat/>
    <w:uiPriority w:val="0"/>
    <w:pPr>
      <w:keepNext/>
      <w:keepLines/>
      <w:spacing w:before="340" w:after="330" w:line="576" w:lineRule="auto"/>
      <w:outlineLvl w:val="0"/>
    </w:pPr>
    <w:rPr>
      <w:b/>
      <w:kern w:val="44"/>
      <w:sz w:val="44"/>
    </w:rPr>
  </w:style>
  <w:style w:type="paragraph" w:styleId="5">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Chars="200" w:firstLine="420" w:firstLineChars="200"/>
    </w:pPr>
    <w:rPr>
      <w:rFonts w:ascii="Times New Roman"/>
    </w:rPr>
  </w:style>
  <w:style w:type="paragraph" w:styleId="3">
    <w:name w:val="Body Text Indent"/>
    <w:basedOn w:val="1"/>
    <w:qFormat/>
    <w:uiPriority w:val="0"/>
    <w:pPr>
      <w:adjustRightInd w:val="0"/>
      <w:snapToGrid w:val="0"/>
      <w:spacing w:line="348" w:lineRule="auto"/>
      <w:ind w:firstLine="200" w:firstLineChars="200"/>
    </w:pPr>
    <w:rPr>
      <w:rFonts w:eastAsia="仿宋_GB2312"/>
      <w:bCs/>
      <w:sz w:val="32"/>
    </w:rPr>
  </w:style>
  <w:style w:type="paragraph" w:styleId="6">
    <w:name w:val="index 5"/>
    <w:basedOn w:val="1"/>
    <w:next w:val="1"/>
    <w:qFormat/>
    <w:uiPriority w:val="0"/>
    <w:pPr>
      <w:ind w:left="168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 w:type="character" w:customStyle="1" w:styleId="14">
    <w:name w:val="标题 1 字符"/>
    <w:link w:val="4"/>
    <w:qFormat/>
    <w:uiPriority w:val="0"/>
    <w:rPr>
      <w:b/>
      <w:kern w:val="44"/>
      <w:sz w:val="44"/>
    </w:rPr>
  </w:style>
  <w:style w:type="paragraph" w:customStyle="1" w:styleId="1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13354</Words>
  <Characters>18562</Characters>
  <Lines>1</Lines>
  <Paragraphs>1</Paragraphs>
  <TotalTime>55</TotalTime>
  <ScaleCrop>false</ScaleCrop>
  <LinksUpToDate>false</LinksUpToDate>
  <CharactersWithSpaces>19134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2018-08-06T19:22:00Z</dcterms:created>
  <dc:creator>李海英</dc:creator>
  <cp:lastModifiedBy>user</cp:lastModifiedBy>
  <cp:lastPrinted>2020-07-20T17:06:00Z</cp:lastPrinted>
  <dcterms:modified xsi:type="dcterms:W3CDTF">2026-09-10T09:03:05Z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7D736C030AB5A3016600A26AB823D561_43</vt:lpwstr>
  </property>
</Properties>
</file>